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3" w:type="dxa"/>
        <w:jc w:val="center"/>
        <w:tblLook w:val="04A0" w:firstRow="1" w:lastRow="0" w:firstColumn="1" w:lastColumn="0" w:noHBand="0" w:noVBand="1"/>
      </w:tblPr>
      <w:tblGrid>
        <w:gridCol w:w="4767"/>
        <w:gridCol w:w="6006"/>
      </w:tblGrid>
      <w:tr w:rsidR="00796162" w:rsidRPr="00523A64" w:rsidTr="00E363B0">
        <w:trPr>
          <w:trHeight w:val="3742"/>
          <w:jc w:val="center"/>
        </w:trPr>
        <w:tc>
          <w:tcPr>
            <w:tcW w:w="4767" w:type="dxa"/>
            <w:shd w:val="clear" w:color="auto" w:fill="FFFFFF"/>
            <w:vAlign w:val="center"/>
          </w:tcPr>
          <w:p w:rsidR="00796162" w:rsidRPr="00BB2420" w:rsidRDefault="00796162" w:rsidP="00E363B0">
            <w:pPr>
              <w:jc w:val="center"/>
              <w:rPr>
                <w:rFonts w:ascii="Arial" w:hAnsi="Arial" w:cs="Arial"/>
                <w:b/>
                <w:bCs/>
                <w:color w:val="524B48"/>
                <w:sz w:val="32"/>
                <w:szCs w:val="32"/>
              </w:rPr>
            </w:pPr>
            <w:bookmarkStart w:id="0" w:name="_GoBack"/>
            <w:bookmarkEnd w:id="0"/>
            <w:r w:rsidRPr="00BB2420">
              <w:rPr>
                <w:rFonts w:ascii="Arial" w:hAnsi="Arial" w:cs="Arial"/>
                <w:b/>
                <w:bCs/>
                <w:color w:val="524B48"/>
                <w:sz w:val="32"/>
                <w:szCs w:val="32"/>
              </w:rPr>
              <w:t>Transnational</w:t>
            </w:r>
          </w:p>
          <w:p w:rsidR="00796162" w:rsidRPr="00BB2420" w:rsidRDefault="00796162" w:rsidP="00E363B0">
            <w:pPr>
              <w:jc w:val="center"/>
              <w:rPr>
                <w:rFonts w:ascii="Arial" w:hAnsi="Arial" w:cs="Arial"/>
                <w:b/>
                <w:bCs/>
                <w:color w:val="524B48"/>
                <w:sz w:val="32"/>
                <w:szCs w:val="32"/>
              </w:rPr>
            </w:pPr>
            <w:r w:rsidRPr="00BB2420">
              <w:rPr>
                <w:rFonts w:ascii="Arial" w:hAnsi="Arial" w:cs="Arial"/>
                <w:b/>
                <w:bCs/>
                <w:color w:val="524B48"/>
                <w:sz w:val="32"/>
                <w:szCs w:val="32"/>
              </w:rPr>
              <w:t>Trademark Issues:</w:t>
            </w:r>
          </w:p>
          <w:p w:rsidR="00796162" w:rsidRPr="00BB2420" w:rsidRDefault="00796162" w:rsidP="00E363B0">
            <w:pPr>
              <w:jc w:val="center"/>
              <w:rPr>
                <w:rFonts w:ascii="Arial" w:hAnsi="Arial" w:cs="Arial"/>
                <w:b/>
                <w:bCs/>
                <w:color w:val="524B48"/>
                <w:sz w:val="32"/>
                <w:szCs w:val="32"/>
              </w:rPr>
            </w:pPr>
            <w:r w:rsidRPr="00BB2420">
              <w:rPr>
                <w:rFonts w:ascii="Arial" w:hAnsi="Arial" w:cs="Arial"/>
                <w:b/>
                <w:bCs/>
                <w:color w:val="524B48"/>
                <w:sz w:val="32"/>
                <w:szCs w:val="32"/>
              </w:rPr>
              <w:t>Observations</w:t>
            </w:r>
          </w:p>
          <w:p w:rsidR="00796162" w:rsidRPr="00BB2420" w:rsidRDefault="00796162" w:rsidP="00E363B0">
            <w:pPr>
              <w:jc w:val="center"/>
              <w:rPr>
                <w:rFonts w:ascii="Arial" w:hAnsi="Arial" w:cs="Arial"/>
                <w:b/>
                <w:bCs/>
                <w:color w:val="524B48"/>
                <w:sz w:val="32"/>
                <w:szCs w:val="32"/>
              </w:rPr>
            </w:pPr>
            <w:r w:rsidRPr="00BB2420">
              <w:rPr>
                <w:rFonts w:ascii="Arial" w:hAnsi="Arial" w:cs="Arial"/>
                <w:b/>
                <w:bCs/>
                <w:color w:val="524B48"/>
                <w:sz w:val="32"/>
                <w:szCs w:val="32"/>
              </w:rPr>
              <w:t>from a Century of</w:t>
            </w:r>
          </w:p>
          <w:p w:rsidR="00796162" w:rsidRDefault="00796162" w:rsidP="00E363B0">
            <w:pPr>
              <w:jc w:val="center"/>
              <w:rPr>
                <w:rFonts w:ascii="Arial" w:hAnsi="Arial" w:cs="Arial"/>
                <w:b/>
                <w:bCs/>
                <w:color w:val="524B48"/>
                <w:sz w:val="32"/>
                <w:szCs w:val="32"/>
              </w:rPr>
            </w:pPr>
            <w:r w:rsidRPr="00BB2420">
              <w:rPr>
                <w:rFonts w:ascii="Arial" w:hAnsi="Arial" w:cs="Arial"/>
                <w:b/>
                <w:bCs/>
                <w:color w:val="524B48"/>
                <w:sz w:val="32"/>
                <w:szCs w:val="32"/>
              </w:rPr>
              <w:t>Budweiser Conflicts</w:t>
            </w:r>
          </w:p>
          <w:p w:rsidR="00796162" w:rsidRPr="00BB2420" w:rsidRDefault="00796162" w:rsidP="00E363B0">
            <w:pPr>
              <w:jc w:val="center"/>
              <w:rPr>
                <w:rFonts w:ascii="Arial" w:hAnsi="Arial" w:cs="Arial"/>
                <w:b/>
                <w:bCs/>
                <w:sz w:val="28"/>
                <w:szCs w:val="28"/>
                <w:lang w:eastAsia="zh-TW"/>
              </w:rPr>
            </w:pPr>
          </w:p>
          <w:p w:rsidR="00796162" w:rsidRPr="00C67E06" w:rsidRDefault="00796162" w:rsidP="00E363B0">
            <w:pPr>
              <w:jc w:val="center"/>
              <w:rPr>
                <w:rFonts w:ascii="Arial" w:hAnsi="Arial" w:cs="Arial"/>
                <w:i/>
                <w:color w:val="6C6361"/>
                <w:sz w:val="24"/>
                <w:szCs w:val="24"/>
              </w:rPr>
            </w:pPr>
            <w:r w:rsidRPr="00C67E06">
              <w:rPr>
                <w:rFonts w:ascii="Arial" w:hAnsi="Arial" w:cs="Arial"/>
                <w:i/>
                <w:color w:val="6C6361"/>
                <w:sz w:val="24"/>
                <w:szCs w:val="24"/>
              </w:rPr>
              <w:t>by</w:t>
            </w:r>
          </w:p>
          <w:p w:rsidR="00796162" w:rsidRPr="00BB2420" w:rsidRDefault="00796162" w:rsidP="00E363B0">
            <w:pPr>
              <w:jc w:val="center"/>
              <w:rPr>
                <w:rFonts w:ascii="Arial" w:hAnsi="Arial" w:cs="Arial"/>
                <w:color w:val="6C6361"/>
                <w:sz w:val="24"/>
                <w:szCs w:val="24"/>
              </w:rPr>
            </w:pPr>
            <w:r w:rsidRPr="00BB2420">
              <w:rPr>
                <w:rFonts w:ascii="Arial" w:hAnsi="Arial" w:cs="Arial"/>
                <w:color w:val="6C6361"/>
                <w:sz w:val="24"/>
                <w:szCs w:val="24"/>
              </w:rPr>
              <w:t>Dr. Danny Friedmann,</w:t>
            </w:r>
          </w:p>
          <w:p w:rsidR="00796162" w:rsidRPr="00BB2420" w:rsidRDefault="00796162" w:rsidP="00E363B0">
            <w:pPr>
              <w:jc w:val="center"/>
              <w:rPr>
                <w:rFonts w:ascii="Arial" w:hAnsi="Arial" w:cs="Arial"/>
                <w:color w:val="6C6361"/>
                <w:sz w:val="24"/>
                <w:szCs w:val="24"/>
              </w:rPr>
            </w:pPr>
            <w:r w:rsidRPr="00BB2420">
              <w:rPr>
                <w:rFonts w:ascii="Arial" w:hAnsi="Arial" w:cs="Arial"/>
                <w:color w:val="6C6361"/>
                <w:sz w:val="24"/>
                <w:szCs w:val="24"/>
              </w:rPr>
              <w:t>PhD, LLM, BBA,</w:t>
            </w:r>
          </w:p>
          <w:p w:rsidR="00796162" w:rsidRDefault="00796162" w:rsidP="00E363B0">
            <w:pPr>
              <w:jc w:val="center"/>
              <w:rPr>
                <w:rFonts w:ascii="Arial" w:hAnsi="Arial" w:cs="Arial"/>
                <w:color w:val="6C6361"/>
                <w:sz w:val="24"/>
                <w:szCs w:val="24"/>
              </w:rPr>
            </w:pPr>
            <w:r w:rsidRPr="00BB2420">
              <w:rPr>
                <w:rFonts w:ascii="Arial" w:hAnsi="Arial" w:cs="Arial"/>
                <w:color w:val="6C6361"/>
                <w:sz w:val="24"/>
                <w:szCs w:val="24"/>
              </w:rPr>
              <w:t>Founder &amp; Editor,</w:t>
            </w:r>
          </w:p>
          <w:p w:rsidR="00796162" w:rsidRPr="00BB2420" w:rsidRDefault="00991C7E" w:rsidP="00E363B0">
            <w:pPr>
              <w:jc w:val="center"/>
              <w:rPr>
                <w:rFonts w:ascii="Arial" w:hAnsi="Arial" w:cs="Arial"/>
                <w:color w:val="6C6361"/>
                <w:sz w:val="24"/>
                <w:szCs w:val="24"/>
              </w:rPr>
            </w:pPr>
            <w:hyperlink r:id="rId8" w:history="1">
              <w:r w:rsidR="00796162" w:rsidRPr="005A25F2">
                <w:rPr>
                  <w:rStyle w:val="Hyperlink"/>
                  <w:rFonts w:ascii="Arial" w:hAnsi="Arial" w:cs="Arial"/>
                  <w:color w:val="6C6361"/>
                  <w:sz w:val="24"/>
                  <w:szCs w:val="24"/>
                </w:rPr>
                <w:t>IP Dragon</w:t>
              </w:r>
            </w:hyperlink>
          </w:p>
        </w:tc>
        <w:tc>
          <w:tcPr>
            <w:tcW w:w="6006" w:type="dxa"/>
            <w:shd w:val="clear" w:color="auto" w:fill="FFFFFF"/>
            <w:vAlign w:val="center"/>
          </w:tcPr>
          <w:p w:rsidR="00796162" w:rsidRPr="00D50772" w:rsidRDefault="00361125" w:rsidP="00E363B0">
            <w:pPr>
              <w:spacing w:line="276" w:lineRule="auto"/>
              <w:jc w:val="center"/>
              <w:rPr>
                <w:rFonts w:ascii="Arial" w:eastAsia="Times New Roman" w:hAnsi="Arial" w:cs="Arial"/>
                <w:noProof/>
                <w:sz w:val="20"/>
                <w:szCs w:val="20"/>
              </w:rPr>
            </w:pPr>
            <w:r w:rsidRPr="00AD40D1">
              <w:rPr>
                <w:rFonts w:ascii="Arial" w:eastAsia="Times New Roman" w:hAnsi="Arial" w:cs="Arial"/>
                <w:noProof/>
                <w:sz w:val="20"/>
                <w:szCs w:val="20"/>
              </w:rPr>
              <w:drawing>
                <wp:inline distT="0" distB="0" distL="0" distR="0">
                  <wp:extent cx="3657600" cy="1828800"/>
                  <wp:effectExtent l="0" t="0" r="0" b="0"/>
                  <wp:docPr id="51"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796162" w:rsidRPr="00413827" w:rsidRDefault="00796162" w:rsidP="00796162">
      <w:pPr>
        <w:spacing w:line="276" w:lineRule="auto"/>
        <w:jc w:val="left"/>
        <w:rPr>
          <w:rFonts w:ascii="Arial" w:hAnsi="Arial" w:cs="Arial"/>
          <w:sz w:val="16"/>
          <w:szCs w:val="16"/>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985"/>
        <w:gridCol w:w="8788"/>
      </w:tblGrid>
      <w:tr w:rsidR="00796162" w:rsidRPr="00D7526B" w:rsidTr="00E363B0">
        <w:trPr>
          <w:trHeight w:val="6534"/>
          <w:jc w:val="center"/>
        </w:trPr>
        <w:tc>
          <w:tcPr>
            <w:tcW w:w="1985" w:type="dxa"/>
            <w:tcBorders>
              <w:top w:val="nil"/>
              <w:left w:val="nil"/>
              <w:bottom w:val="nil"/>
            </w:tcBorders>
            <w:shd w:val="clear" w:color="auto" w:fill="FFFFFF"/>
            <w:vAlign w:val="center"/>
          </w:tcPr>
          <w:p w:rsidR="00796162" w:rsidRPr="00D7526B" w:rsidRDefault="00361125" w:rsidP="00E363B0">
            <w:pPr>
              <w:spacing w:line="276" w:lineRule="auto"/>
              <w:jc w:val="center"/>
              <w:rPr>
                <w:rFonts w:ascii="Arial" w:hAnsi="Arial" w:cs="Arial"/>
                <w:sz w:val="20"/>
                <w:szCs w:val="20"/>
              </w:rPr>
            </w:pPr>
            <w:r w:rsidRPr="00AD40D1">
              <w:rPr>
                <w:rFonts w:ascii="Arial" w:hAnsi="Arial" w:cs="Arial"/>
                <w:noProof/>
                <w:sz w:val="20"/>
                <w:szCs w:val="20"/>
              </w:rPr>
              <w:drawing>
                <wp:inline distT="0" distB="0" distL="0" distR="0">
                  <wp:extent cx="1076325" cy="1438275"/>
                  <wp:effectExtent l="0" t="0" r="9525" b="9525"/>
                  <wp:docPr id="50"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tcBorders>
              <w:top w:val="nil"/>
              <w:bottom w:val="nil"/>
              <w:right w:val="nil"/>
            </w:tcBorders>
            <w:shd w:val="clear" w:color="auto" w:fill="FFFFFF"/>
            <w:vAlign w:val="center"/>
          </w:tcPr>
          <w:p w:rsidR="00796162" w:rsidRPr="00D7526B" w:rsidRDefault="00796162" w:rsidP="00E363B0">
            <w:pPr>
              <w:rPr>
                <w:rFonts w:ascii="Arial" w:hAnsi="Arial" w:cs="Arial"/>
                <w:color w:val="6C6361"/>
                <w:sz w:val="20"/>
                <w:szCs w:val="20"/>
              </w:rPr>
            </w:pPr>
            <w:r w:rsidRPr="00D7526B">
              <w:rPr>
                <w:rFonts w:ascii="Arial" w:hAnsi="Arial" w:cs="Arial"/>
                <w:color w:val="6C6361"/>
                <w:sz w:val="20"/>
                <w:szCs w:val="20"/>
              </w:rPr>
              <w:t xml:space="preserve">Dr. Danny Friedmann is specialised in intellectual property law in all its facets, and is familiar with IP in the common and civil law systems.  He has a PhD from the Chinese University of Hong Kong, holds a LLM from the University of Amsterdam and a BBA from Nyenrode Business University/McGill University in Montreal.  He has taught at CUHK and QANTM College Amsterdam and has been a speaker at various seminars/conferences in Hong Kong and overseas.  He regularly publishes papers and articles for peer-reviewed law journals, book chapters and is the founder and editor of </w:t>
            </w:r>
            <w:hyperlink r:id="rId11" w:history="1">
              <w:r w:rsidRPr="00D7526B">
                <w:rPr>
                  <w:rStyle w:val="Hyperlink"/>
                  <w:rFonts w:ascii="Arial" w:hAnsi="Arial" w:cs="Arial"/>
                  <w:color w:val="6C6361"/>
                  <w:sz w:val="20"/>
                  <w:szCs w:val="20"/>
                </w:rPr>
                <w:t>IP Dragon</w:t>
              </w:r>
            </w:hyperlink>
            <w:r w:rsidRPr="00D7526B">
              <w:rPr>
                <w:rFonts w:ascii="Arial" w:hAnsi="Arial" w:cs="Arial"/>
                <w:color w:val="6C6361"/>
                <w:sz w:val="20"/>
                <w:szCs w:val="20"/>
              </w:rPr>
              <w:t>, a well known blog about IP in China with an international readership, since 2005.</w:t>
            </w:r>
          </w:p>
          <w:p w:rsidR="00796162" w:rsidRPr="00D7526B" w:rsidRDefault="00796162" w:rsidP="00E363B0">
            <w:pPr>
              <w:rPr>
                <w:rFonts w:ascii="Arial" w:hAnsi="Arial" w:cs="Arial"/>
                <w:color w:val="6C6361"/>
                <w:sz w:val="20"/>
                <w:szCs w:val="20"/>
              </w:rPr>
            </w:pPr>
          </w:p>
          <w:p w:rsidR="00796162" w:rsidRPr="00D7526B" w:rsidRDefault="00796162" w:rsidP="00E363B0">
            <w:pPr>
              <w:rPr>
                <w:rFonts w:ascii="Arial" w:hAnsi="Arial" w:cs="Arial"/>
                <w:color w:val="6C6361"/>
                <w:sz w:val="20"/>
                <w:szCs w:val="20"/>
              </w:rPr>
            </w:pPr>
            <w:r w:rsidRPr="00D7526B">
              <w:rPr>
                <w:rFonts w:ascii="Arial" w:hAnsi="Arial" w:cs="Arial"/>
                <w:color w:val="6C6361"/>
                <w:sz w:val="20"/>
                <w:szCs w:val="20"/>
              </w:rPr>
              <w:t>A selection of his publications:</w:t>
            </w:r>
          </w:p>
          <w:p w:rsidR="00796162" w:rsidRPr="00D7526B" w:rsidRDefault="00796162" w:rsidP="00E363B0">
            <w:pPr>
              <w:rPr>
                <w:rFonts w:ascii="Arial" w:hAnsi="Arial" w:cs="Arial"/>
                <w:color w:val="6C6361"/>
                <w:sz w:val="20"/>
                <w:szCs w:val="20"/>
              </w:rPr>
            </w:pPr>
          </w:p>
          <w:p w:rsidR="00796162" w:rsidRPr="00D7526B" w:rsidRDefault="00796162" w:rsidP="00796162">
            <w:pPr>
              <w:pStyle w:val="ListParagraph"/>
              <w:numPr>
                <w:ilvl w:val="0"/>
                <w:numId w:val="8"/>
              </w:numPr>
              <w:rPr>
                <w:rFonts w:ascii="Arial" w:hAnsi="Arial" w:cs="Arial"/>
                <w:i/>
                <w:color w:val="6C6361"/>
                <w:sz w:val="20"/>
                <w:szCs w:val="20"/>
              </w:rPr>
            </w:pPr>
            <w:r w:rsidRPr="00D7526B">
              <w:rPr>
                <w:rFonts w:ascii="Arial" w:hAnsi="Arial" w:cs="Arial"/>
                <w:color w:val="6C6361"/>
                <w:sz w:val="20"/>
                <w:szCs w:val="20"/>
              </w:rPr>
              <w:t xml:space="preserve">'A Paradigm Shift of the Trademark Logo: Towards Algorithmic Justice' </w:t>
            </w:r>
            <w:r w:rsidRPr="00D7526B">
              <w:rPr>
                <w:rFonts w:ascii="Arial" w:hAnsi="Arial" w:cs="Arial"/>
                <w:i/>
                <w:color w:val="6C6361"/>
                <w:sz w:val="20"/>
                <w:szCs w:val="20"/>
              </w:rPr>
              <w:t>(Edward Elgar Publishing, expected 2014)</w:t>
            </w:r>
          </w:p>
          <w:p w:rsidR="00796162" w:rsidRPr="00D7526B" w:rsidRDefault="00796162" w:rsidP="00796162">
            <w:pPr>
              <w:pStyle w:val="ListParagraph"/>
              <w:numPr>
                <w:ilvl w:val="0"/>
                <w:numId w:val="8"/>
              </w:numPr>
              <w:rPr>
                <w:rFonts w:ascii="Arial" w:hAnsi="Arial" w:cs="Arial"/>
                <w:i/>
                <w:color w:val="6C6361"/>
                <w:sz w:val="20"/>
                <w:szCs w:val="20"/>
              </w:rPr>
            </w:pPr>
            <w:r w:rsidRPr="00D7526B">
              <w:rPr>
                <w:rFonts w:ascii="Arial" w:hAnsi="Arial" w:cs="Arial"/>
                <w:color w:val="6C6361"/>
                <w:sz w:val="20"/>
                <w:szCs w:val="20"/>
              </w:rPr>
              <w:t xml:space="preserve">'Protection and Enforcement of Intellectual Property in China' </w:t>
            </w:r>
            <w:r w:rsidRPr="00D7526B">
              <w:rPr>
                <w:rFonts w:ascii="Arial" w:hAnsi="Arial" w:cs="Arial"/>
                <w:i/>
                <w:color w:val="6C6361"/>
                <w:sz w:val="20"/>
                <w:szCs w:val="20"/>
              </w:rPr>
              <w:t>(Oxford University Press, expected 2015)</w:t>
            </w:r>
          </w:p>
          <w:p w:rsidR="00796162" w:rsidRPr="00D7526B" w:rsidRDefault="00796162" w:rsidP="00796162">
            <w:pPr>
              <w:pStyle w:val="ListParagraph"/>
              <w:numPr>
                <w:ilvl w:val="0"/>
                <w:numId w:val="8"/>
              </w:numPr>
              <w:rPr>
                <w:rFonts w:ascii="Arial" w:hAnsi="Arial" w:cs="Arial"/>
                <w:i/>
                <w:color w:val="6C6361"/>
                <w:sz w:val="20"/>
                <w:szCs w:val="20"/>
              </w:rPr>
            </w:pPr>
            <w:r w:rsidRPr="00D7526B">
              <w:rPr>
                <w:rFonts w:ascii="Arial" w:hAnsi="Arial" w:cs="Arial"/>
                <w:color w:val="6C6361"/>
                <w:sz w:val="20"/>
                <w:szCs w:val="20"/>
              </w:rPr>
              <w:t xml:space="preserve">'Sinking the Safe Harbour Provisions With the Legal Certainty of Strict Liability in Sight' </w:t>
            </w:r>
            <w:r w:rsidRPr="00D7526B">
              <w:rPr>
                <w:rFonts w:ascii="Arial" w:hAnsi="Arial" w:cs="Arial"/>
                <w:i/>
                <w:color w:val="6C6361"/>
                <w:sz w:val="20"/>
                <w:szCs w:val="20"/>
              </w:rPr>
              <w:t>Journal of Intellectual Property Law and Practice (Oxford Journals) Forthcoming 2014</w:t>
            </w:r>
          </w:p>
          <w:p w:rsidR="00796162" w:rsidRPr="00D7526B" w:rsidRDefault="00796162" w:rsidP="00796162">
            <w:pPr>
              <w:pStyle w:val="ListParagraph"/>
              <w:numPr>
                <w:ilvl w:val="0"/>
                <w:numId w:val="8"/>
              </w:numPr>
              <w:rPr>
                <w:rFonts w:ascii="Arial" w:hAnsi="Arial" w:cs="Arial"/>
                <w:i/>
                <w:color w:val="6C6361"/>
                <w:sz w:val="20"/>
                <w:szCs w:val="20"/>
              </w:rPr>
            </w:pPr>
            <w:r w:rsidRPr="00D7526B">
              <w:rPr>
                <w:rFonts w:ascii="Arial" w:hAnsi="Arial" w:cs="Arial"/>
                <w:color w:val="6C6361"/>
                <w:sz w:val="20"/>
                <w:szCs w:val="20"/>
              </w:rPr>
              <w:t xml:space="preserve">'Extension of Trademark Protection versus Extended Trademark Use' </w:t>
            </w:r>
            <w:r w:rsidRPr="00D7526B">
              <w:rPr>
                <w:rFonts w:ascii="Arial" w:hAnsi="Arial" w:cs="Arial"/>
                <w:i/>
                <w:color w:val="6C6361"/>
                <w:sz w:val="20"/>
                <w:szCs w:val="20"/>
              </w:rPr>
              <w:t>Recommended for publication at the Trademark Reporter</w:t>
            </w:r>
          </w:p>
          <w:p w:rsidR="00796162" w:rsidRPr="00D7526B" w:rsidRDefault="00796162" w:rsidP="00796162">
            <w:pPr>
              <w:pStyle w:val="ListParagraph"/>
              <w:numPr>
                <w:ilvl w:val="0"/>
                <w:numId w:val="8"/>
              </w:numPr>
              <w:rPr>
                <w:rFonts w:ascii="Arial" w:hAnsi="Arial" w:cs="Arial"/>
                <w:color w:val="6C6361"/>
                <w:sz w:val="20"/>
                <w:szCs w:val="20"/>
              </w:rPr>
            </w:pPr>
            <w:r w:rsidRPr="00D7526B">
              <w:rPr>
                <w:rFonts w:ascii="Arial" w:hAnsi="Arial" w:cs="Arial"/>
                <w:color w:val="6C6361"/>
                <w:sz w:val="20"/>
                <w:szCs w:val="20"/>
              </w:rPr>
              <w:t xml:space="preserve">Article: </w:t>
            </w:r>
            <w:hyperlink r:id="rId12" w:history="1">
              <w:r w:rsidRPr="00D7526B">
                <w:rPr>
                  <w:rStyle w:val="Hyperlink"/>
                  <w:rFonts w:ascii="Arial" w:hAnsi="Arial" w:cs="Arial"/>
                  <w:color w:val="6C6361"/>
                  <w:sz w:val="20"/>
                  <w:szCs w:val="20"/>
                </w:rPr>
                <w:t>'Rise and Demise of U.S. Social Media in China'</w:t>
              </w:r>
            </w:hyperlink>
            <w:r w:rsidRPr="00D7526B">
              <w:rPr>
                <w:rFonts w:ascii="Arial" w:hAnsi="Arial" w:cs="Arial"/>
                <w:color w:val="6C6361"/>
                <w:sz w:val="20"/>
                <w:szCs w:val="20"/>
              </w:rPr>
              <w:t xml:space="preserve"> in China's Influence on Non-Trade Concerns in International Economic Law, </w:t>
            </w:r>
            <w:r w:rsidRPr="00D7526B">
              <w:rPr>
                <w:rFonts w:ascii="Arial" w:hAnsi="Arial" w:cs="Arial"/>
                <w:i/>
                <w:color w:val="6C6361"/>
                <w:sz w:val="20"/>
                <w:szCs w:val="20"/>
              </w:rPr>
              <w:t>Paolo Farah, ed., Ashgate Publishing UK (forthcoming 2014).  Also published in Chinese by Law Press of China</w:t>
            </w:r>
          </w:p>
          <w:p w:rsidR="00796162" w:rsidRPr="00D7526B" w:rsidRDefault="00796162" w:rsidP="00796162">
            <w:pPr>
              <w:pStyle w:val="ListParagraph"/>
              <w:numPr>
                <w:ilvl w:val="0"/>
                <w:numId w:val="8"/>
              </w:numPr>
              <w:rPr>
                <w:rFonts w:ascii="Arial" w:hAnsi="Arial" w:cs="Arial"/>
                <w:i/>
                <w:color w:val="6C6361"/>
                <w:sz w:val="20"/>
                <w:szCs w:val="20"/>
              </w:rPr>
            </w:pPr>
            <w:r w:rsidRPr="00D7526B">
              <w:rPr>
                <w:rFonts w:ascii="Arial" w:hAnsi="Arial" w:cs="Arial"/>
                <w:color w:val="6C6361"/>
                <w:sz w:val="20"/>
                <w:szCs w:val="20"/>
              </w:rPr>
              <w:t xml:space="preserve">Article: </w:t>
            </w:r>
            <w:hyperlink r:id="rId13" w:history="1">
              <w:r w:rsidRPr="00D7526B">
                <w:rPr>
                  <w:rStyle w:val="Hyperlink"/>
                  <w:rFonts w:ascii="Arial" w:hAnsi="Arial" w:cs="Arial"/>
                  <w:color w:val="6C6361"/>
                  <w:sz w:val="20"/>
                  <w:szCs w:val="20"/>
                </w:rPr>
                <w:t>'Paradoxes, Google and China - How Censorship Can Harm and Intellectual Property Can Harness Innovation'</w:t>
              </w:r>
            </w:hyperlink>
            <w:r w:rsidRPr="00D7526B">
              <w:rPr>
                <w:rFonts w:ascii="Arial" w:hAnsi="Arial" w:cs="Arial"/>
                <w:color w:val="6C6361"/>
                <w:sz w:val="20"/>
                <w:szCs w:val="20"/>
              </w:rPr>
              <w:t xml:space="preserve"> in Google and the Law: IT and the Law, </w:t>
            </w:r>
            <w:r w:rsidRPr="00D7526B">
              <w:rPr>
                <w:rFonts w:ascii="Arial" w:hAnsi="Arial" w:cs="Arial"/>
                <w:i/>
                <w:color w:val="6C6361"/>
                <w:sz w:val="20"/>
                <w:szCs w:val="20"/>
              </w:rPr>
              <w:t>Aurelio Lopez-Tarruella, ed., TMC Asser, 2012</w:t>
            </w:r>
          </w:p>
          <w:p w:rsidR="00796162" w:rsidRPr="00D7526B" w:rsidRDefault="00991C7E" w:rsidP="00796162">
            <w:pPr>
              <w:pStyle w:val="ListParagraph"/>
              <w:numPr>
                <w:ilvl w:val="0"/>
                <w:numId w:val="8"/>
              </w:numPr>
              <w:rPr>
                <w:rFonts w:ascii="Arial" w:hAnsi="Arial" w:cs="Arial"/>
                <w:color w:val="6C6361"/>
                <w:sz w:val="20"/>
                <w:szCs w:val="20"/>
              </w:rPr>
            </w:pPr>
            <w:hyperlink r:id="rId14" w:history="1">
              <w:r w:rsidR="00796162" w:rsidRPr="00D7526B">
                <w:rPr>
                  <w:rStyle w:val="Hyperlink"/>
                  <w:rFonts w:ascii="Arial" w:hAnsi="Arial" w:cs="Arial"/>
                  <w:color w:val="6C6361"/>
                  <w:sz w:val="20"/>
                  <w:szCs w:val="20"/>
                </w:rPr>
                <w:t>'How to Work Within China's IPR Enforcement System for Trademark and Design Rights'</w:t>
              </w:r>
            </w:hyperlink>
            <w:r w:rsidR="00796162" w:rsidRPr="00D7526B">
              <w:rPr>
                <w:rFonts w:ascii="Arial" w:hAnsi="Arial" w:cs="Arial"/>
                <w:color w:val="6C6361"/>
                <w:sz w:val="20"/>
                <w:szCs w:val="20"/>
              </w:rPr>
              <w:t xml:space="preserve"> </w:t>
            </w:r>
            <w:r w:rsidR="00796162" w:rsidRPr="00D7526B">
              <w:rPr>
                <w:rFonts w:ascii="Arial" w:hAnsi="Arial" w:cs="Arial"/>
                <w:i/>
                <w:color w:val="6C6361"/>
                <w:sz w:val="20"/>
                <w:szCs w:val="20"/>
              </w:rPr>
              <w:t>(2007-1) 8-12, Benelux Trademark and Design Right (Bmm) Bulletin</w:t>
            </w:r>
          </w:p>
        </w:tc>
      </w:tr>
    </w:tbl>
    <w:p w:rsidR="00796162" w:rsidRDefault="00796162" w:rsidP="00796162">
      <w:pPr>
        <w:spacing w:line="276" w:lineRule="auto"/>
        <w:rPr>
          <w:rFonts w:ascii="Arial" w:hAnsi="Arial" w:cs="Arial"/>
          <w:sz w:val="16"/>
          <w:szCs w:val="16"/>
        </w:rPr>
      </w:pPr>
    </w:p>
    <w:tbl>
      <w:tblPr>
        <w:tblW w:w="10773" w:type="dxa"/>
        <w:jc w:val="center"/>
        <w:tblLook w:val="04A0" w:firstRow="1" w:lastRow="0" w:firstColumn="1" w:lastColumn="0" w:noHBand="0" w:noVBand="1"/>
      </w:tblPr>
      <w:tblGrid>
        <w:gridCol w:w="10773"/>
      </w:tblGrid>
      <w:tr w:rsidR="00796162" w:rsidRPr="00085A87" w:rsidTr="00E363B0">
        <w:trPr>
          <w:trHeight w:val="2900"/>
          <w:jc w:val="center"/>
        </w:trPr>
        <w:tc>
          <w:tcPr>
            <w:tcW w:w="10773" w:type="dxa"/>
            <w:shd w:val="clear" w:color="auto" w:fill="FFFFFF"/>
            <w:vAlign w:val="center"/>
          </w:tcPr>
          <w:p w:rsidR="00796162" w:rsidRPr="00074C1E" w:rsidRDefault="00361125" w:rsidP="00E363B0">
            <w:pPr>
              <w:spacing w:line="276" w:lineRule="auto"/>
              <w:jc w:val="center"/>
              <w:rPr>
                <w:rFonts w:ascii="Arial" w:hAnsi="Arial" w:cs="Arial"/>
                <w:color w:val="6C6361"/>
                <w:sz w:val="16"/>
                <w:szCs w:val="16"/>
              </w:rPr>
            </w:pPr>
            <w:r w:rsidRPr="00AD40D1">
              <w:rPr>
                <w:rFonts w:ascii="Arial" w:hAnsi="Arial" w:cs="Arial"/>
                <w:noProof/>
                <w:color w:val="6C6361"/>
                <w:sz w:val="16"/>
                <w:szCs w:val="16"/>
              </w:rPr>
              <w:lastRenderedPageBreak/>
              <w:drawing>
                <wp:inline distT="0" distB="0" distL="0" distR="0">
                  <wp:extent cx="2190750" cy="1638300"/>
                  <wp:effectExtent l="0" t="0" r="0" b="0"/>
                  <wp:docPr id="49" name="Picture 3" descr="EVT000000015_introducti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T000000015_introduction.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r w:rsidR="00796162" w:rsidRPr="00074C1E">
              <w:rPr>
                <w:rFonts w:ascii="Arial" w:hAnsi="Arial" w:cs="Arial"/>
                <w:color w:val="6C6361"/>
                <w:sz w:val="16"/>
                <w:szCs w:val="16"/>
              </w:rPr>
              <w:t xml:space="preserve"> </w:t>
            </w:r>
            <w:r w:rsidRPr="00AD40D1">
              <w:rPr>
                <w:rFonts w:ascii="Arial" w:hAnsi="Arial" w:cs="Arial"/>
                <w:noProof/>
                <w:color w:val="6C6361"/>
                <w:sz w:val="16"/>
                <w:szCs w:val="16"/>
              </w:rPr>
              <w:drawing>
                <wp:inline distT="0" distB="0" distL="0" distR="0">
                  <wp:extent cx="2190750" cy="1638300"/>
                  <wp:effectExtent l="0" t="0" r="0" b="0"/>
                  <wp:docPr id="48" name="Picture 4" descr="EVT000000015_introducti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T000000015_introduction.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r w:rsidR="00796162" w:rsidRPr="00074C1E">
              <w:rPr>
                <w:rFonts w:ascii="Arial" w:hAnsi="Arial" w:cs="Arial"/>
                <w:color w:val="6C6361"/>
                <w:sz w:val="16"/>
                <w:szCs w:val="16"/>
              </w:rPr>
              <w:t xml:space="preserve"> </w:t>
            </w:r>
            <w:r w:rsidRPr="00AD40D1">
              <w:rPr>
                <w:rFonts w:ascii="Arial" w:hAnsi="Arial" w:cs="Arial"/>
                <w:noProof/>
                <w:color w:val="6C6361"/>
                <w:sz w:val="16"/>
                <w:szCs w:val="16"/>
              </w:rPr>
              <w:drawing>
                <wp:inline distT="0" distB="0" distL="0" distR="0">
                  <wp:extent cx="2190750" cy="1638300"/>
                  <wp:effectExtent l="0" t="0" r="0" b="0"/>
                  <wp:docPr id="47" name="Picture 7" descr="EVT000000015_introduc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T000000015_introduction.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tc>
      </w:tr>
    </w:tbl>
    <w:p w:rsidR="00796162" w:rsidRDefault="00796162" w:rsidP="00796162">
      <w:pPr>
        <w:spacing w:line="276" w:lineRule="auto"/>
        <w:rPr>
          <w:rFonts w:ascii="Arial" w:hAnsi="Arial" w:cs="Arial"/>
          <w:sz w:val="16"/>
          <w:szCs w:val="16"/>
        </w:rPr>
      </w:pPr>
    </w:p>
    <w:p w:rsidR="00796162" w:rsidRDefault="00796162" w:rsidP="00796162">
      <w:pPr>
        <w:spacing w:line="276" w:lineRule="auto"/>
        <w:rPr>
          <w:rFonts w:ascii="Arial" w:hAnsi="Arial" w:cs="Arial"/>
          <w:sz w:val="16"/>
          <w:szCs w:val="16"/>
        </w:rPr>
      </w:pPr>
    </w:p>
    <w:tbl>
      <w:tblPr>
        <w:tblW w:w="10773" w:type="dxa"/>
        <w:jc w:val="center"/>
        <w:tblLook w:val="04A0" w:firstRow="1" w:lastRow="0" w:firstColumn="1" w:lastColumn="0" w:noHBand="0" w:noVBand="1"/>
      </w:tblPr>
      <w:tblGrid>
        <w:gridCol w:w="10773"/>
      </w:tblGrid>
      <w:tr w:rsidR="00796162" w:rsidRPr="00D7526B" w:rsidTr="00BC0F61">
        <w:trPr>
          <w:trHeight w:val="2282"/>
          <w:jc w:val="center"/>
        </w:trPr>
        <w:tc>
          <w:tcPr>
            <w:tcW w:w="10773" w:type="dxa"/>
            <w:shd w:val="clear" w:color="auto" w:fill="FFFFFF"/>
            <w:vAlign w:val="center"/>
          </w:tcPr>
          <w:p w:rsidR="00796162" w:rsidRPr="00D7526B" w:rsidRDefault="00796162" w:rsidP="00E363B0">
            <w:pPr>
              <w:spacing w:line="276" w:lineRule="auto"/>
              <w:rPr>
                <w:rFonts w:ascii="Arial" w:hAnsi="Arial" w:cs="Arial"/>
                <w:color w:val="6C6361"/>
                <w:sz w:val="20"/>
                <w:szCs w:val="20"/>
              </w:rPr>
            </w:pPr>
            <w:r w:rsidRPr="00D7526B">
              <w:rPr>
                <w:rFonts w:ascii="Arial" w:hAnsi="Arial" w:cs="Arial"/>
                <w:color w:val="6C6361"/>
                <w:sz w:val="20"/>
                <w:szCs w:val="20"/>
              </w:rPr>
              <w:t>This course will provide an insight into transnational trademark law.  The trademark law in Hong Kong will be used as a reference point: to clarify the differences and similarities between the Hong Kong, EU and US systems.</w:t>
            </w:r>
          </w:p>
          <w:p w:rsidR="00796162" w:rsidRPr="00BC0F61" w:rsidRDefault="00796162" w:rsidP="00E363B0">
            <w:pPr>
              <w:spacing w:line="276" w:lineRule="auto"/>
              <w:rPr>
                <w:rFonts w:ascii="Arial" w:hAnsi="Arial" w:cs="Arial"/>
                <w:color w:val="6C6361"/>
                <w:sz w:val="12"/>
                <w:szCs w:val="12"/>
              </w:rPr>
            </w:pPr>
          </w:p>
          <w:p w:rsidR="00796162" w:rsidRPr="00D7526B" w:rsidRDefault="00796162" w:rsidP="00E363B0">
            <w:pPr>
              <w:spacing w:line="276" w:lineRule="auto"/>
              <w:rPr>
                <w:rFonts w:ascii="Arial" w:hAnsi="Arial" w:cs="Arial"/>
                <w:color w:val="6C6361"/>
                <w:sz w:val="20"/>
                <w:szCs w:val="20"/>
              </w:rPr>
            </w:pPr>
            <w:r w:rsidRPr="00D7526B">
              <w:rPr>
                <w:rFonts w:ascii="Arial" w:hAnsi="Arial" w:cs="Arial"/>
                <w:color w:val="6C6361"/>
                <w:sz w:val="20"/>
                <w:szCs w:val="20"/>
              </w:rPr>
              <w:t>The course will illustrate transnational trademark law in the process via the ongoing legal battles between the US and Czech beer breweries in many jurisdictions all over the world.  Rationales of trademark law, trademark categories and new challenges for the trademark are building blocks to comprehend the cases that will be used.  The case law, including that of the CJEU, makes clear that beside trademark law, EU regulations about Geographical Indications, the Lisbon Agreement to Protect Appellations of Origin, contract law and bilateral agreements are all relevant factors to the matter.</w:t>
            </w:r>
          </w:p>
        </w:tc>
      </w:tr>
    </w:tbl>
    <w:p w:rsidR="00796162" w:rsidRPr="005A536B" w:rsidRDefault="00796162" w:rsidP="00796162">
      <w:pPr>
        <w:spacing w:line="276" w:lineRule="auto"/>
        <w:rPr>
          <w:rFonts w:ascii="Arial" w:hAnsi="Arial" w:cs="Arial"/>
          <w:sz w:val="20"/>
          <w:szCs w:val="20"/>
        </w:rPr>
      </w:pPr>
    </w:p>
    <w:tbl>
      <w:tblPr>
        <w:tblW w:w="10773" w:type="dxa"/>
        <w:jc w:val="center"/>
        <w:tblLook w:val="04A0" w:firstRow="1" w:lastRow="0" w:firstColumn="1" w:lastColumn="0" w:noHBand="0" w:noVBand="1"/>
      </w:tblPr>
      <w:tblGrid>
        <w:gridCol w:w="10773"/>
      </w:tblGrid>
      <w:tr w:rsidR="00796162" w:rsidRPr="00D7526B" w:rsidTr="00E363B0">
        <w:trPr>
          <w:trHeight w:val="340"/>
          <w:jc w:val="center"/>
        </w:trPr>
        <w:tc>
          <w:tcPr>
            <w:tcW w:w="10773" w:type="dxa"/>
            <w:shd w:val="clear" w:color="auto" w:fill="F0EBE1"/>
            <w:vAlign w:val="center"/>
          </w:tcPr>
          <w:p w:rsidR="00796162" w:rsidRPr="00D7526B" w:rsidRDefault="00796162" w:rsidP="00E363B0">
            <w:pPr>
              <w:spacing w:line="276" w:lineRule="auto"/>
              <w:jc w:val="left"/>
              <w:rPr>
                <w:rFonts w:ascii="Arial" w:eastAsia="Times New Roman" w:hAnsi="Arial" w:cs="Arial"/>
                <w:color w:val="524B48"/>
                <w:sz w:val="20"/>
                <w:szCs w:val="20"/>
              </w:rPr>
            </w:pPr>
            <w:r w:rsidRPr="00D7526B">
              <w:rPr>
                <w:rFonts w:ascii="Arial" w:hAnsi="Arial" w:cs="Arial"/>
                <w:b/>
                <w:color w:val="524B48"/>
                <w:sz w:val="20"/>
                <w:szCs w:val="20"/>
              </w:rPr>
              <w:t>Contents:</w:t>
            </w:r>
          </w:p>
        </w:tc>
      </w:tr>
      <w:tr w:rsidR="00796162" w:rsidRPr="00D7526B" w:rsidTr="00BC0F61">
        <w:trPr>
          <w:trHeight w:val="8475"/>
          <w:jc w:val="center"/>
        </w:trPr>
        <w:tc>
          <w:tcPr>
            <w:tcW w:w="10773" w:type="dxa"/>
            <w:shd w:val="clear" w:color="auto" w:fill="FFFFFF"/>
            <w:vAlign w:val="center"/>
          </w:tcPr>
          <w:p w:rsidR="00796162" w:rsidRPr="00D7526B" w:rsidRDefault="00796162" w:rsidP="00E363B0">
            <w:pPr>
              <w:pStyle w:val="ListParagraph"/>
              <w:numPr>
                <w:ilvl w:val="0"/>
                <w:numId w:val="1"/>
              </w:numPr>
              <w:rPr>
                <w:rFonts w:ascii="Arial" w:hAnsi="Arial" w:cs="Arial"/>
                <w:b/>
                <w:color w:val="6C6361"/>
                <w:sz w:val="20"/>
                <w:szCs w:val="20"/>
              </w:rPr>
            </w:pPr>
            <w:r w:rsidRPr="00D7526B">
              <w:rPr>
                <w:rFonts w:ascii="Arial" w:hAnsi="Arial" w:cs="Arial"/>
                <w:b/>
                <w:color w:val="6C6361"/>
                <w:sz w:val="20"/>
                <w:szCs w:val="20"/>
              </w:rPr>
              <w:lastRenderedPageBreak/>
              <w:t>Rationales of Trademark Law</w:t>
            </w:r>
          </w:p>
          <w:p w:rsidR="00796162" w:rsidRPr="00D7526B" w:rsidRDefault="00796162" w:rsidP="00E363B0">
            <w:pPr>
              <w:pStyle w:val="ListParagraph"/>
              <w:numPr>
                <w:ilvl w:val="1"/>
                <w:numId w:val="1"/>
              </w:numPr>
              <w:rPr>
                <w:rFonts w:ascii="Arial" w:hAnsi="Arial" w:cs="Arial"/>
                <w:b/>
                <w:i/>
                <w:color w:val="6C6361"/>
                <w:sz w:val="20"/>
                <w:szCs w:val="20"/>
              </w:rPr>
            </w:pPr>
            <w:r w:rsidRPr="00D7526B">
              <w:rPr>
                <w:rFonts w:ascii="Arial" w:hAnsi="Arial" w:cs="Arial"/>
                <w:i/>
                <w:color w:val="6C6361"/>
                <w:sz w:val="20"/>
                <w:szCs w:val="20"/>
              </w:rPr>
              <w:t>By the end of this course the participants will know the rationales of trademark law, the essential function of trademark against confusion or a likelihood of confusion: source of origin, quality and product distinctiveness and their derivatives; the doctrines of sponsorship and affiliation confusion, initial-interest confusion, post sale confusion and reverse confusion will be all explained.</w:t>
            </w:r>
          </w:p>
          <w:p w:rsidR="00796162" w:rsidRPr="00D7526B" w:rsidRDefault="00796162" w:rsidP="00E363B0">
            <w:pPr>
              <w:pStyle w:val="ListParagraph"/>
              <w:numPr>
                <w:ilvl w:val="1"/>
                <w:numId w:val="1"/>
              </w:numPr>
              <w:rPr>
                <w:rFonts w:ascii="Arial" w:hAnsi="Arial" w:cs="Arial"/>
                <w:i/>
                <w:color w:val="6C6361"/>
                <w:sz w:val="20"/>
                <w:szCs w:val="20"/>
              </w:rPr>
            </w:pPr>
            <w:r w:rsidRPr="00D7526B">
              <w:rPr>
                <w:rFonts w:ascii="Arial" w:hAnsi="Arial" w:cs="Arial"/>
                <w:i/>
                <w:color w:val="6C6361"/>
                <w:sz w:val="20"/>
                <w:szCs w:val="20"/>
              </w:rPr>
              <w:t>Beside the "essential" function, the participants will also learn about the communication, advertisement and investment functions, and the measures against trademark dilution or a likelihood of trademark dilution, which can be crucial for the trademark proprietor.  There are two branches of the trademark dilution doctrine, which will be illustrated by relevant case law: trademark dilution by blurring and trademark dilution by tarnishment.</w:t>
            </w:r>
          </w:p>
          <w:p w:rsidR="00796162" w:rsidRPr="00BC0F61" w:rsidRDefault="00796162" w:rsidP="00E363B0">
            <w:pPr>
              <w:rPr>
                <w:rFonts w:ascii="Arial" w:hAnsi="Arial" w:cs="Arial"/>
                <w:color w:val="6C6361"/>
                <w:sz w:val="12"/>
                <w:szCs w:val="12"/>
              </w:rPr>
            </w:pPr>
          </w:p>
          <w:p w:rsidR="00796162" w:rsidRPr="00D7526B" w:rsidRDefault="00796162" w:rsidP="00E363B0">
            <w:pPr>
              <w:pStyle w:val="ListParagraph"/>
              <w:numPr>
                <w:ilvl w:val="0"/>
                <w:numId w:val="1"/>
              </w:numPr>
              <w:rPr>
                <w:rFonts w:ascii="Arial" w:hAnsi="Arial" w:cs="Arial"/>
                <w:b/>
                <w:color w:val="6C6361"/>
                <w:sz w:val="20"/>
                <w:szCs w:val="20"/>
              </w:rPr>
            </w:pPr>
            <w:r w:rsidRPr="00D7526B">
              <w:rPr>
                <w:rFonts w:ascii="Arial" w:hAnsi="Arial" w:cs="Arial"/>
                <w:b/>
                <w:color w:val="6C6361"/>
                <w:sz w:val="20"/>
                <w:szCs w:val="20"/>
              </w:rPr>
              <w:t>Characteristics of Trademarks</w:t>
            </w:r>
          </w:p>
          <w:p w:rsidR="00796162" w:rsidRPr="00D7526B" w:rsidRDefault="00796162" w:rsidP="00E363B0">
            <w:pPr>
              <w:pStyle w:val="ListParagraph"/>
              <w:numPr>
                <w:ilvl w:val="1"/>
                <w:numId w:val="1"/>
              </w:numPr>
              <w:rPr>
                <w:rFonts w:ascii="Arial" w:hAnsi="Arial" w:cs="Arial"/>
                <w:i/>
                <w:color w:val="6C6361"/>
                <w:sz w:val="20"/>
                <w:szCs w:val="20"/>
              </w:rPr>
            </w:pPr>
            <w:r w:rsidRPr="00D7526B">
              <w:rPr>
                <w:rFonts w:ascii="Arial" w:hAnsi="Arial" w:cs="Arial"/>
                <w:i/>
                <w:color w:val="6C6361"/>
                <w:sz w:val="20"/>
                <w:szCs w:val="20"/>
              </w:rPr>
              <w:t>Trademarks will be discussed in regard to different categories, each having very different characteristics: registered/unregistered, inherently distinctive/acquired distinctiveness, well-known/famous/reputable, collective/certification, appellation of origin/geographical indication.</w:t>
            </w:r>
          </w:p>
          <w:p w:rsidR="00796162" w:rsidRPr="00BC0F61" w:rsidRDefault="00796162" w:rsidP="00E363B0">
            <w:pPr>
              <w:rPr>
                <w:rFonts w:ascii="Arial" w:hAnsi="Arial" w:cs="Arial"/>
                <w:color w:val="6C6361"/>
                <w:sz w:val="12"/>
                <w:szCs w:val="12"/>
              </w:rPr>
            </w:pPr>
          </w:p>
          <w:p w:rsidR="00796162" w:rsidRPr="00D7526B" w:rsidRDefault="00796162" w:rsidP="00E363B0">
            <w:pPr>
              <w:pStyle w:val="ListParagraph"/>
              <w:numPr>
                <w:ilvl w:val="0"/>
                <w:numId w:val="1"/>
              </w:numPr>
              <w:rPr>
                <w:rFonts w:ascii="Arial" w:hAnsi="Arial" w:cs="Arial"/>
                <w:b/>
                <w:color w:val="6C6361"/>
                <w:sz w:val="20"/>
                <w:szCs w:val="20"/>
              </w:rPr>
            </w:pPr>
            <w:r w:rsidRPr="00D7526B">
              <w:rPr>
                <w:rFonts w:ascii="Arial" w:hAnsi="Arial" w:cs="Arial"/>
                <w:b/>
                <w:color w:val="6C6361"/>
                <w:sz w:val="20"/>
                <w:szCs w:val="20"/>
              </w:rPr>
              <w:t>New Challenges for the Trademark</w:t>
            </w:r>
          </w:p>
          <w:p w:rsidR="00796162" w:rsidRPr="00D7526B" w:rsidRDefault="00796162" w:rsidP="00E363B0">
            <w:pPr>
              <w:pStyle w:val="ListParagraph"/>
              <w:numPr>
                <w:ilvl w:val="1"/>
                <w:numId w:val="1"/>
              </w:numPr>
              <w:rPr>
                <w:rFonts w:ascii="Arial" w:hAnsi="Arial" w:cs="Arial"/>
                <w:i/>
                <w:color w:val="6C6361"/>
                <w:sz w:val="20"/>
                <w:szCs w:val="20"/>
              </w:rPr>
            </w:pPr>
            <w:r w:rsidRPr="00D7526B">
              <w:rPr>
                <w:rFonts w:ascii="Arial" w:hAnsi="Arial" w:cs="Arial"/>
                <w:i/>
                <w:color w:val="6C6361"/>
                <w:sz w:val="20"/>
                <w:szCs w:val="20"/>
              </w:rPr>
              <w:t>First the history of trademark infringement and trademark dilution will be highlighted in order to better understand the present situation.  This course will then elaborate on the challenges of two fundaments of trademark law; territoriality principle in regard to globalisation and the internet, and the specialty principle and the problems related to the Nice Classification. Alternative systems will also be reviewed.</w:t>
            </w:r>
          </w:p>
          <w:p w:rsidR="00796162" w:rsidRPr="00BC0F61" w:rsidRDefault="00796162" w:rsidP="00E363B0">
            <w:pPr>
              <w:rPr>
                <w:rFonts w:ascii="Arial" w:hAnsi="Arial" w:cs="Arial"/>
                <w:color w:val="6C6361"/>
                <w:sz w:val="12"/>
                <w:szCs w:val="12"/>
              </w:rPr>
            </w:pPr>
          </w:p>
          <w:p w:rsidR="00796162" w:rsidRPr="00D7526B" w:rsidRDefault="00796162" w:rsidP="00E363B0">
            <w:pPr>
              <w:pStyle w:val="ListParagraph"/>
              <w:numPr>
                <w:ilvl w:val="0"/>
                <w:numId w:val="1"/>
              </w:numPr>
              <w:rPr>
                <w:rFonts w:ascii="Arial" w:hAnsi="Arial" w:cs="Arial"/>
                <w:b/>
                <w:color w:val="6C6361"/>
                <w:sz w:val="20"/>
                <w:szCs w:val="20"/>
              </w:rPr>
            </w:pPr>
            <w:r w:rsidRPr="00D7526B">
              <w:rPr>
                <w:rFonts w:ascii="Arial" w:hAnsi="Arial" w:cs="Arial"/>
                <w:b/>
                <w:color w:val="6C6361"/>
                <w:sz w:val="20"/>
                <w:szCs w:val="20"/>
              </w:rPr>
              <w:t>Relevant Treaty Law for Geographical Indications</w:t>
            </w:r>
          </w:p>
          <w:p w:rsidR="00796162" w:rsidRPr="00D7526B" w:rsidRDefault="00796162" w:rsidP="00E363B0">
            <w:pPr>
              <w:pStyle w:val="ListParagraph"/>
              <w:numPr>
                <w:ilvl w:val="1"/>
                <w:numId w:val="1"/>
              </w:numPr>
              <w:rPr>
                <w:rFonts w:ascii="Arial" w:hAnsi="Arial" w:cs="Arial"/>
                <w:i/>
                <w:color w:val="6C6361"/>
                <w:sz w:val="20"/>
                <w:szCs w:val="20"/>
              </w:rPr>
            </w:pPr>
            <w:r w:rsidRPr="00D7526B">
              <w:rPr>
                <w:rFonts w:ascii="Arial" w:hAnsi="Arial" w:cs="Arial"/>
                <w:i/>
                <w:color w:val="6C6361"/>
                <w:sz w:val="20"/>
                <w:szCs w:val="20"/>
              </w:rPr>
              <w:t>The course will explicate how collective/certification trademarks, Paris Convention, TRIPS and Lisbon Agreements are relevant for the protection of Geographical Indications, the similarities and differences in the different jurisdictions will be discussed.  The participants will understand the relation and conflict between a normal trademark and a Geographical Indication.</w:t>
            </w:r>
          </w:p>
          <w:p w:rsidR="00796162" w:rsidRPr="00BC0F61" w:rsidRDefault="00796162" w:rsidP="00E363B0">
            <w:pPr>
              <w:rPr>
                <w:rFonts w:ascii="Arial" w:hAnsi="Arial" w:cs="Arial"/>
                <w:color w:val="6C6361"/>
                <w:sz w:val="12"/>
                <w:szCs w:val="12"/>
              </w:rPr>
            </w:pPr>
          </w:p>
          <w:p w:rsidR="00796162" w:rsidRPr="00D7526B" w:rsidRDefault="00796162" w:rsidP="00E363B0">
            <w:pPr>
              <w:pStyle w:val="ListParagraph"/>
              <w:numPr>
                <w:ilvl w:val="0"/>
                <w:numId w:val="1"/>
              </w:numPr>
              <w:rPr>
                <w:rFonts w:ascii="Arial" w:hAnsi="Arial" w:cs="Arial"/>
                <w:b/>
                <w:color w:val="6C6361"/>
                <w:sz w:val="20"/>
                <w:szCs w:val="20"/>
              </w:rPr>
            </w:pPr>
            <w:r w:rsidRPr="00D7526B">
              <w:rPr>
                <w:rFonts w:ascii="Arial" w:hAnsi="Arial" w:cs="Arial"/>
                <w:b/>
                <w:color w:val="6C6361"/>
                <w:sz w:val="20"/>
                <w:szCs w:val="20"/>
              </w:rPr>
              <w:t>European Intellectual Property Law</w:t>
            </w:r>
          </w:p>
          <w:p w:rsidR="00796162" w:rsidRPr="00D7526B" w:rsidRDefault="00361125" w:rsidP="00E363B0">
            <w:pPr>
              <w:pStyle w:val="ListParagraph"/>
              <w:numPr>
                <w:ilvl w:val="1"/>
                <w:numId w:val="1"/>
              </w:numPr>
              <w:rPr>
                <w:rFonts w:ascii="Arial" w:hAnsi="Arial" w:cs="Arial"/>
                <w:i/>
                <w:color w:val="6C6361"/>
                <w:sz w:val="20"/>
                <w:szCs w:val="20"/>
              </w:rPr>
            </w:pPr>
            <w:r>
              <w:rPr>
                <w:rFonts w:ascii="Arial" w:hAnsi="Arial" w:cs="Arial"/>
                <w:i/>
                <w:noProof/>
                <w:color w:val="6C6361"/>
                <w:sz w:val="20"/>
                <w:szCs w:val="20"/>
              </w:rPr>
              <w:drawing>
                <wp:anchor distT="0" distB="0" distL="114300" distR="114300" simplePos="0" relativeHeight="251657728" behindDoc="0" locked="0" layoutInCell="1" allowOverlap="1">
                  <wp:simplePos x="0" y="0"/>
                  <wp:positionH relativeFrom="column">
                    <wp:posOffset>5789930</wp:posOffset>
                  </wp:positionH>
                  <wp:positionV relativeFrom="paragraph">
                    <wp:posOffset>356235</wp:posOffset>
                  </wp:positionV>
                  <wp:extent cx="706755" cy="804545"/>
                  <wp:effectExtent l="0" t="0" r="4445" b="6985"/>
                  <wp:wrapNone/>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675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162" w:rsidRPr="00D7526B">
              <w:rPr>
                <w:rFonts w:ascii="Arial" w:hAnsi="Arial" w:cs="Arial"/>
                <w:i/>
                <w:color w:val="6C6361"/>
                <w:sz w:val="20"/>
                <w:szCs w:val="20"/>
              </w:rPr>
              <w:t>This course includes a primer on EU IP law; the participants will understand the difference between regulations and directives, and how the National Courts of the EU, the European Court of Justice/Court of Justice of the European Union and the Advocate General of the CJEU and their relationships.</w:t>
            </w:r>
          </w:p>
          <w:p w:rsidR="00796162" w:rsidRPr="00BC0F61" w:rsidRDefault="00796162" w:rsidP="00E363B0">
            <w:pPr>
              <w:rPr>
                <w:rFonts w:ascii="Arial" w:hAnsi="Arial" w:cs="Arial"/>
                <w:color w:val="6C6361"/>
                <w:sz w:val="12"/>
                <w:szCs w:val="12"/>
              </w:rPr>
            </w:pPr>
          </w:p>
          <w:p w:rsidR="00796162" w:rsidRPr="00D7526B" w:rsidRDefault="00796162" w:rsidP="00E363B0">
            <w:pPr>
              <w:pStyle w:val="ListParagraph"/>
              <w:numPr>
                <w:ilvl w:val="0"/>
                <w:numId w:val="1"/>
              </w:numPr>
              <w:rPr>
                <w:rFonts w:ascii="Arial" w:hAnsi="Arial" w:cs="Arial"/>
                <w:b/>
                <w:color w:val="6C6361"/>
                <w:sz w:val="20"/>
                <w:szCs w:val="20"/>
              </w:rPr>
            </w:pPr>
            <w:r w:rsidRPr="00D7526B">
              <w:rPr>
                <w:rFonts w:ascii="Arial" w:hAnsi="Arial" w:cs="Arial"/>
                <w:b/>
                <w:color w:val="6C6361"/>
                <w:sz w:val="20"/>
                <w:szCs w:val="20"/>
              </w:rPr>
              <w:t>The Budweiser Cases</w:t>
            </w:r>
          </w:p>
          <w:p w:rsidR="00796162" w:rsidRPr="00D7526B" w:rsidRDefault="00796162" w:rsidP="00E363B0">
            <w:pPr>
              <w:pStyle w:val="ListParagraph"/>
              <w:numPr>
                <w:ilvl w:val="1"/>
                <w:numId w:val="1"/>
              </w:numPr>
              <w:ind w:left="714" w:right="1616" w:hanging="357"/>
              <w:rPr>
                <w:rFonts w:ascii="Arial" w:hAnsi="Arial" w:cs="Arial"/>
                <w:i/>
                <w:color w:val="6C6361"/>
                <w:sz w:val="20"/>
                <w:szCs w:val="20"/>
              </w:rPr>
            </w:pPr>
            <w:r w:rsidRPr="00D7526B">
              <w:rPr>
                <w:rFonts w:ascii="Arial" w:hAnsi="Arial" w:cs="Arial"/>
                <w:i/>
                <w:color w:val="6C6361"/>
                <w:sz w:val="20"/>
                <w:szCs w:val="20"/>
              </w:rPr>
              <w:t>After comprehending the aforementioned building blocks of the course, the participants will fully appreciate and comprehend the rich case law on the manifold Budweiser legal conflicts which will be reviewed.  By the end of this course, the participants will have an up-to-date knowledge of the ECJ/CJEU decisions and even an ECHR (human rights) judgment in regard to the Budweiser cases.</w:t>
            </w:r>
          </w:p>
        </w:tc>
      </w:tr>
    </w:tbl>
    <w:p w:rsidR="00796162" w:rsidRPr="00D7526B" w:rsidRDefault="00796162" w:rsidP="00796162">
      <w:pPr>
        <w:rPr>
          <w:rFonts w:ascii="Arial" w:hAnsi="Arial" w:cs="Arial"/>
          <w:color w:val="524B48"/>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78"/>
        <w:gridCol w:w="3802"/>
        <w:gridCol w:w="1661"/>
        <w:gridCol w:w="2657"/>
        <w:gridCol w:w="1274"/>
      </w:tblGrid>
      <w:tr w:rsidR="00796162" w:rsidRPr="00874BF7" w:rsidTr="00E363B0">
        <w:trPr>
          <w:trHeight w:val="340"/>
          <w:jc w:val="center"/>
        </w:trPr>
        <w:tc>
          <w:tcPr>
            <w:tcW w:w="1378" w:type="dxa"/>
            <w:tcBorders>
              <w:top w:val="nil"/>
              <w:left w:val="nil"/>
              <w:bottom w:val="single" w:sz="12" w:space="0" w:color="FFFFFF"/>
            </w:tcBorders>
            <w:shd w:val="clear" w:color="auto" w:fill="F0EBE1"/>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874BF7">
              <w:rPr>
                <w:rFonts w:ascii="Arial" w:eastAsia="Times New Roman" w:hAnsi="Arial" w:cs="Arial"/>
                <w:noProof/>
                <w:color w:val="524B48"/>
                <w:sz w:val="20"/>
                <w:szCs w:val="20"/>
              </w:rPr>
              <w:t>Code:</w:t>
            </w:r>
          </w:p>
        </w:tc>
        <w:tc>
          <w:tcPr>
            <w:tcW w:w="3802" w:type="dxa"/>
            <w:tcBorders>
              <w:top w:val="nil"/>
              <w:bottom w:val="single" w:sz="12" w:space="0" w:color="F0EBE1"/>
            </w:tcBorders>
            <w:shd w:val="clear" w:color="auto" w:fill="FFFFFF"/>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874BF7">
              <w:rPr>
                <w:rFonts w:ascii="Arial" w:hAnsi="Arial" w:cs="Arial"/>
                <w:b/>
                <w:bCs/>
                <w:color w:val="6C6361"/>
                <w:sz w:val="20"/>
                <w:szCs w:val="20"/>
              </w:rPr>
              <w:t>EVT000000015</w:t>
            </w:r>
          </w:p>
        </w:tc>
        <w:tc>
          <w:tcPr>
            <w:tcW w:w="1661" w:type="dxa"/>
            <w:tcBorders>
              <w:top w:val="nil"/>
              <w:bottom w:val="single" w:sz="12" w:space="0" w:color="FFFFFF"/>
            </w:tcBorders>
            <w:shd w:val="clear" w:color="auto" w:fill="F0EBE1"/>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874BF7">
              <w:rPr>
                <w:rFonts w:ascii="Arial" w:eastAsia="Times New Roman" w:hAnsi="Arial" w:cs="Arial"/>
                <w:noProof/>
                <w:color w:val="524B48"/>
                <w:sz w:val="20"/>
                <w:szCs w:val="20"/>
              </w:rPr>
              <w:t>Level:</w:t>
            </w:r>
          </w:p>
        </w:tc>
        <w:tc>
          <w:tcPr>
            <w:tcW w:w="3931" w:type="dxa"/>
            <w:gridSpan w:val="2"/>
            <w:tcBorders>
              <w:top w:val="nil"/>
              <w:bottom w:val="single" w:sz="12" w:space="0" w:color="F0EBE1"/>
              <w:right w:val="nil"/>
            </w:tcBorders>
            <w:shd w:val="clear" w:color="auto" w:fill="FFFFFF"/>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874BF7">
              <w:rPr>
                <w:rFonts w:ascii="Arial" w:eastAsia="Times New Roman" w:hAnsi="Arial" w:cs="Arial"/>
                <w:b/>
                <w:noProof/>
                <w:color w:val="6C6361"/>
                <w:sz w:val="20"/>
                <w:szCs w:val="20"/>
              </w:rPr>
              <w:t>Intermediate</w:t>
            </w:r>
          </w:p>
        </w:tc>
      </w:tr>
      <w:tr w:rsidR="00796162" w:rsidRPr="00874BF7" w:rsidTr="00E363B0">
        <w:trPr>
          <w:trHeight w:val="340"/>
          <w:jc w:val="center"/>
        </w:trPr>
        <w:tc>
          <w:tcPr>
            <w:tcW w:w="1378" w:type="dxa"/>
            <w:tcBorders>
              <w:top w:val="single" w:sz="12" w:space="0" w:color="FFFFFF"/>
              <w:left w:val="nil"/>
              <w:bottom w:val="single" w:sz="12" w:space="0" w:color="FFFFFF"/>
            </w:tcBorders>
            <w:shd w:val="clear" w:color="auto" w:fill="F0EBE1"/>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874BF7">
              <w:rPr>
                <w:rFonts w:ascii="Arial" w:eastAsia="Times New Roman" w:hAnsi="Arial" w:cs="Arial"/>
                <w:noProof/>
                <w:color w:val="524B48"/>
                <w:sz w:val="20"/>
                <w:szCs w:val="20"/>
              </w:rPr>
              <w:t>Date:</w:t>
            </w:r>
          </w:p>
        </w:tc>
        <w:tc>
          <w:tcPr>
            <w:tcW w:w="3802" w:type="dxa"/>
            <w:tcBorders>
              <w:top w:val="single" w:sz="12" w:space="0" w:color="F0EBE1"/>
              <w:bottom w:val="single" w:sz="12" w:space="0" w:color="F0EBE1"/>
            </w:tcBorders>
            <w:shd w:val="clear" w:color="auto" w:fill="FFFFFF"/>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17 May</w:t>
            </w:r>
            <w:r w:rsidRPr="00874BF7">
              <w:rPr>
                <w:rFonts w:ascii="Arial" w:hAnsi="Arial" w:cs="Arial"/>
                <w:b/>
                <w:color w:val="6C6361"/>
                <w:sz w:val="20"/>
                <w:szCs w:val="20"/>
              </w:rPr>
              <w:t xml:space="preserve"> 2014 (Saturday)</w:t>
            </w:r>
            <w:r>
              <w:rPr>
                <w:rFonts w:ascii="Arial" w:hAnsi="Arial" w:cs="Arial"/>
                <w:b/>
                <w:color w:val="6C6361"/>
                <w:sz w:val="20"/>
                <w:szCs w:val="20"/>
              </w:rPr>
              <w:t xml:space="preserve"> (Amended)</w:t>
            </w:r>
          </w:p>
        </w:tc>
        <w:tc>
          <w:tcPr>
            <w:tcW w:w="1661" w:type="dxa"/>
            <w:tcBorders>
              <w:top w:val="single" w:sz="12" w:space="0" w:color="FFFFFF"/>
              <w:bottom w:val="single" w:sz="12" w:space="0" w:color="FFFFFF"/>
            </w:tcBorders>
            <w:shd w:val="clear" w:color="auto" w:fill="F0EBE1"/>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874BF7">
              <w:rPr>
                <w:rFonts w:ascii="Arial" w:eastAsia="Times New Roman" w:hAnsi="Arial" w:cs="Arial"/>
                <w:noProof/>
                <w:color w:val="524B48"/>
                <w:sz w:val="20"/>
                <w:szCs w:val="20"/>
              </w:rPr>
              <w:t>Language:</w:t>
            </w:r>
          </w:p>
        </w:tc>
        <w:tc>
          <w:tcPr>
            <w:tcW w:w="3931" w:type="dxa"/>
            <w:gridSpan w:val="2"/>
            <w:tcBorders>
              <w:top w:val="single" w:sz="12" w:space="0" w:color="F0EBE1"/>
              <w:bottom w:val="single" w:sz="12" w:space="0" w:color="F0EBE1"/>
              <w:right w:val="nil"/>
            </w:tcBorders>
            <w:shd w:val="clear" w:color="auto" w:fill="FFFFFF"/>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874BF7">
              <w:rPr>
                <w:rFonts w:ascii="Arial" w:eastAsia="Times New Roman" w:hAnsi="Arial" w:cs="Arial"/>
                <w:b/>
                <w:noProof/>
                <w:color w:val="6C6361"/>
                <w:sz w:val="20"/>
                <w:szCs w:val="20"/>
              </w:rPr>
              <w:t>English</w:t>
            </w:r>
          </w:p>
        </w:tc>
      </w:tr>
      <w:tr w:rsidR="00796162" w:rsidRPr="00874BF7" w:rsidTr="00E363B0">
        <w:trPr>
          <w:trHeight w:val="340"/>
          <w:jc w:val="center"/>
        </w:trPr>
        <w:tc>
          <w:tcPr>
            <w:tcW w:w="1378" w:type="dxa"/>
            <w:tcBorders>
              <w:top w:val="single" w:sz="12" w:space="0" w:color="FFFFFF"/>
              <w:left w:val="nil"/>
              <w:bottom w:val="single" w:sz="12" w:space="0" w:color="FFFFFF"/>
            </w:tcBorders>
            <w:shd w:val="clear" w:color="auto" w:fill="F0EBE1"/>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874BF7">
              <w:rPr>
                <w:rFonts w:ascii="Arial" w:eastAsia="Times New Roman" w:hAnsi="Arial" w:cs="Arial"/>
                <w:noProof/>
                <w:color w:val="524B48"/>
                <w:sz w:val="20"/>
                <w:szCs w:val="20"/>
              </w:rPr>
              <w:t>Time:</w:t>
            </w:r>
          </w:p>
        </w:tc>
        <w:tc>
          <w:tcPr>
            <w:tcW w:w="3802" w:type="dxa"/>
            <w:tcBorders>
              <w:top w:val="single" w:sz="12" w:space="0" w:color="F0EBE1"/>
              <w:bottom w:val="single" w:sz="12" w:space="0" w:color="F0EBE1"/>
            </w:tcBorders>
            <w:shd w:val="clear" w:color="auto" w:fill="FFFFFF"/>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874BF7">
              <w:rPr>
                <w:rFonts w:ascii="Arial" w:hAnsi="Arial" w:cs="Arial"/>
                <w:b/>
                <w:color w:val="6C6361"/>
                <w:sz w:val="20"/>
                <w:szCs w:val="20"/>
              </w:rPr>
              <w:t>14:30 - 17:45</w:t>
            </w:r>
          </w:p>
        </w:tc>
        <w:tc>
          <w:tcPr>
            <w:tcW w:w="1661" w:type="dxa"/>
            <w:tcBorders>
              <w:top w:val="single" w:sz="12" w:space="0" w:color="FFFFFF"/>
              <w:bottom w:val="single" w:sz="12" w:space="0" w:color="FFFFFF"/>
            </w:tcBorders>
            <w:shd w:val="clear" w:color="auto" w:fill="F0EBE1"/>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874BF7">
              <w:rPr>
                <w:rFonts w:ascii="Arial" w:eastAsia="Times New Roman" w:hAnsi="Arial" w:cs="Arial"/>
                <w:noProof/>
                <w:color w:val="524B48"/>
                <w:sz w:val="20"/>
                <w:szCs w:val="20"/>
              </w:rPr>
              <w:t>Accreditation(s):</w:t>
            </w:r>
          </w:p>
        </w:tc>
        <w:tc>
          <w:tcPr>
            <w:tcW w:w="3931" w:type="dxa"/>
            <w:gridSpan w:val="2"/>
            <w:tcBorders>
              <w:top w:val="single" w:sz="12" w:space="0" w:color="F0EBE1"/>
              <w:bottom w:val="single" w:sz="12" w:space="0" w:color="F0EBE1"/>
              <w:right w:val="nil"/>
            </w:tcBorders>
            <w:shd w:val="clear" w:color="auto" w:fill="FFFFFF"/>
            <w:vAlign w:val="center"/>
          </w:tcPr>
          <w:p w:rsidR="00796162" w:rsidRPr="00874BF7" w:rsidRDefault="00796162"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874BF7">
              <w:rPr>
                <w:rFonts w:ascii="Arial" w:hAnsi="Arial" w:cs="Arial"/>
                <w:b/>
                <w:color w:val="6C6361"/>
                <w:sz w:val="20"/>
                <w:szCs w:val="20"/>
              </w:rPr>
              <w:t>LSHK 3.0 CPD Points</w:t>
            </w:r>
          </w:p>
        </w:tc>
      </w:tr>
      <w:tr w:rsidR="00BC0F61" w:rsidRPr="00874BF7" w:rsidTr="00BC0F61">
        <w:trPr>
          <w:trHeight w:val="1247"/>
          <w:jc w:val="center"/>
        </w:trPr>
        <w:tc>
          <w:tcPr>
            <w:tcW w:w="1378" w:type="dxa"/>
            <w:tcBorders>
              <w:top w:val="single" w:sz="12" w:space="0" w:color="FFFFFF"/>
              <w:left w:val="nil"/>
              <w:bottom w:val="nil"/>
            </w:tcBorders>
            <w:shd w:val="clear" w:color="auto" w:fill="F0EBE1"/>
            <w:vAlign w:val="center"/>
          </w:tcPr>
          <w:p w:rsidR="00BC0F61" w:rsidRPr="00874BF7" w:rsidRDefault="00BC0F61"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874BF7">
              <w:rPr>
                <w:rFonts w:ascii="Arial" w:eastAsia="Times New Roman" w:hAnsi="Arial" w:cs="Arial"/>
                <w:noProof/>
                <w:color w:val="524B48"/>
                <w:sz w:val="20"/>
                <w:szCs w:val="20"/>
              </w:rPr>
              <w:lastRenderedPageBreak/>
              <w:t>Venue:</w:t>
            </w:r>
          </w:p>
        </w:tc>
        <w:tc>
          <w:tcPr>
            <w:tcW w:w="3802" w:type="dxa"/>
            <w:tcBorders>
              <w:top w:val="single" w:sz="12" w:space="0" w:color="F0EBE1"/>
              <w:bottom w:val="nil"/>
            </w:tcBorders>
            <w:shd w:val="clear" w:color="auto" w:fill="FFFFFF"/>
            <w:vAlign w:val="center"/>
          </w:tcPr>
          <w:p w:rsidR="00BC0F61" w:rsidRPr="00874BF7" w:rsidRDefault="00BC0F61" w:rsidP="00E363B0">
            <w:pPr>
              <w:spacing w:line="276" w:lineRule="auto"/>
              <w:jc w:val="left"/>
              <w:rPr>
                <w:rFonts w:ascii="Arial" w:hAnsi="Arial" w:cs="Arial"/>
                <w:b/>
                <w:color w:val="6C6361"/>
                <w:sz w:val="20"/>
                <w:szCs w:val="20"/>
              </w:rPr>
            </w:pPr>
            <w:r w:rsidRPr="00874BF7">
              <w:rPr>
                <w:rFonts w:ascii="Arial" w:hAnsi="Arial" w:cs="Arial"/>
                <w:b/>
                <w:color w:val="6C6361"/>
                <w:sz w:val="20"/>
                <w:szCs w:val="20"/>
              </w:rPr>
              <w:t>9th Floor,</w:t>
            </w:r>
            <w:r>
              <w:rPr>
                <w:rFonts w:ascii="Arial" w:hAnsi="Arial" w:cs="Arial"/>
                <w:b/>
                <w:color w:val="6C6361"/>
                <w:sz w:val="20"/>
                <w:szCs w:val="20"/>
              </w:rPr>
              <w:t xml:space="preserve"> </w:t>
            </w:r>
            <w:r w:rsidRPr="00874BF7">
              <w:rPr>
                <w:rFonts w:ascii="Arial" w:hAnsi="Arial" w:cs="Arial"/>
                <w:b/>
                <w:color w:val="6C6361"/>
                <w:sz w:val="20"/>
                <w:szCs w:val="20"/>
              </w:rPr>
              <w:t>The Chinese Club Building</w:t>
            </w:r>
          </w:p>
          <w:p w:rsidR="00BC0F61" w:rsidRPr="00874BF7" w:rsidRDefault="00BC0F61"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874BF7">
              <w:rPr>
                <w:rFonts w:ascii="Arial" w:hAnsi="Arial" w:cs="Arial"/>
                <w:b/>
                <w:color w:val="6C6361"/>
                <w:sz w:val="20"/>
                <w:szCs w:val="20"/>
              </w:rPr>
              <w:t xml:space="preserve">21-22 Connaught Road Central </w:t>
            </w:r>
          </w:p>
          <w:p w:rsidR="00BC0F61" w:rsidRPr="00874BF7" w:rsidRDefault="00BC0F61"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874BF7">
              <w:rPr>
                <w:rFonts w:ascii="Arial" w:hAnsi="Arial" w:cs="Arial"/>
                <w:b/>
                <w:color w:val="6C6361"/>
                <w:sz w:val="20"/>
                <w:szCs w:val="20"/>
              </w:rPr>
              <w:t>Central, Hong Kong</w:t>
            </w:r>
          </w:p>
        </w:tc>
        <w:tc>
          <w:tcPr>
            <w:tcW w:w="1661" w:type="dxa"/>
            <w:tcBorders>
              <w:top w:val="single" w:sz="12" w:space="0" w:color="FFFFFF"/>
              <w:bottom w:val="nil"/>
            </w:tcBorders>
            <w:shd w:val="clear" w:color="auto" w:fill="F0EBE1"/>
            <w:vAlign w:val="center"/>
          </w:tcPr>
          <w:p w:rsidR="00BC0F61" w:rsidRPr="00BC0F61" w:rsidRDefault="00BC0F61"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C0F61">
              <w:rPr>
                <w:rFonts w:ascii="Arial" w:eastAsia="Times New Roman" w:hAnsi="Arial" w:cs="Arial"/>
                <w:noProof/>
                <w:color w:val="524B48"/>
                <w:sz w:val="20"/>
                <w:szCs w:val="20"/>
              </w:rPr>
              <w:t>Request for</w:t>
            </w:r>
          </w:p>
          <w:p w:rsidR="00BC0F61" w:rsidRPr="00BC0F61" w:rsidRDefault="00BC0F61"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C0F61">
              <w:rPr>
                <w:rFonts w:ascii="Arial" w:eastAsia="Times New Roman" w:hAnsi="Arial" w:cs="Arial"/>
                <w:noProof/>
                <w:color w:val="524B48"/>
                <w:sz w:val="20"/>
                <w:szCs w:val="20"/>
              </w:rPr>
              <w:t>Rerun:</w:t>
            </w:r>
          </w:p>
        </w:tc>
        <w:tc>
          <w:tcPr>
            <w:tcW w:w="2657" w:type="dxa"/>
            <w:tcBorders>
              <w:top w:val="single" w:sz="12" w:space="0" w:color="F0EBE1"/>
              <w:bottom w:val="nil"/>
              <w:right w:val="nil"/>
            </w:tcBorders>
            <w:shd w:val="clear" w:color="auto" w:fill="FFFFFF"/>
            <w:vAlign w:val="center"/>
          </w:tcPr>
          <w:p w:rsidR="00BC0F61" w:rsidRPr="00BC0F61" w:rsidRDefault="00BC0F61"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0"/>
                <w:szCs w:val="20"/>
              </w:rPr>
            </w:pPr>
            <w:r w:rsidRPr="00BC0F61">
              <w:rPr>
                <w:rFonts w:ascii="Arial" w:eastAsia="Times New Roman" w:hAnsi="Arial" w:cs="Arial"/>
                <w:b/>
                <w:noProof/>
                <w:color w:val="6C6361"/>
                <w:sz w:val="20"/>
                <w:szCs w:val="20"/>
              </w:rPr>
              <w:t xml:space="preserve">Please </w:t>
            </w:r>
            <w:hyperlink r:id="rId19" w:history="1">
              <w:r w:rsidRPr="00BC0F61">
                <w:rPr>
                  <w:rStyle w:val="Hyperlink"/>
                  <w:rFonts w:ascii="Arial" w:eastAsia="Times New Roman" w:hAnsi="Arial" w:cs="Arial"/>
                  <w:b/>
                  <w:noProof/>
                  <w:color w:val="6C6361"/>
                  <w:sz w:val="20"/>
                  <w:szCs w:val="20"/>
                  <w:u w:val="none"/>
                </w:rPr>
                <w:t>Contact Us</w:t>
              </w:r>
            </w:hyperlink>
          </w:p>
          <w:p w:rsidR="00BC0F61" w:rsidRPr="00BC0F61" w:rsidRDefault="00BC0F61" w:rsidP="00E3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C0F6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BC0F61" w:rsidRPr="005B38D5" w:rsidRDefault="00361125" w:rsidP="00BC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4"/>
                <w:szCs w:val="24"/>
              </w:rPr>
            </w:pPr>
            <w:r w:rsidRPr="00991C7E">
              <w:rPr>
                <w:rFonts w:ascii="Arial" w:eastAsia="Times New Roman" w:hAnsi="Arial" w:cs="Arial"/>
                <w:b/>
                <w:noProof/>
                <w:color w:val="6C6361"/>
                <w:sz w:val="24"/>
                <w:szCs w:val="24"/>
              </w:rPr>
              <w:drawing>
                <wp:inline distT="0" distB="0" distL="0" distR="0">
                  <wp:extent cx="657225" cy="657225"/>
                  <wp:effectExtent l="0" t="0" r="9525" b="952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rsidR="00516207" w:rsidRPr="00796162" w:rsidRDefault="00516207" w:rsidP="00796162">
      <w:pPr>
        <w:rPr>
          <w:sz w:val="2"/>
          <w:szCs w:val="2"/>
        </w:rPr>
      </w:pPr>
    </w:p>
    <w:sectPr w:rsidR="00516207" w:rsidRPr="00796162" w:rsidSect="000F34E0">
      <w:headerReference w:type="default" r:id="rId21"/>
      <w:footerReference w:type="default" r:id="rId22"/>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298" w:rsidRDefault="006A1298" w:rsidP="00546556">
      <w:r>
        <w:separator/>
      </w:r>
    </w:p>
  </w:endnote>
  <w:endnote w:type="continuationSeparator" w:id="0">
    <w:p w:rsidR="006A1298" w:rsidRDefault="006A129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9BF" w:rsidRPr="00A61495" w:rsidRDefault="00361125" w:rsidP="000F34E0">
    <w:pPr>
      <w:jc w:val="center"/>
      <w:rPr>
        <w:sz w:val="19"/>
        <w:szCs w:val="19"/>
      </w:rPr>
    </w:pPr>
    <w:r w:rsidRPr="00991C7E">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1FA68221"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9D39BF" w:rsidRPr="00A61495" w:rsidRDefault="009D39BF" w:rsidP="000F34E0">
    <w:pPr>
      <w:jc w:val="center"/>
      <w:rPr>
        <w:rFonts w:ascii="Arial" w:hAnsi="Arial" w:cs="Arial"/>
        <w:sz w:val="19"/>
        <w:szCs w:val="19"/>
      </w:rPr>
    </w:pPr>
  </w:p>
  <w:p w:rsidR="009D39BF" w:rsidRPr="004D435E" w:rsidRDefault="009D39BF"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9D39BF" w:rsidRDefault="009D39BF"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9D39BF" w:rsidRPr="000F34E0" w:rsidRDefault="009D39BF"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298" w:rsidRDefault="006A1298" w:rsidP="00546556">
      <w:r>
        <w:separator/>
      </w:r>
    </w:p>
  </w:footnote>
  <w:footnote w:type="continuationSeparator" w:id="0">
    <w:p w:rsidR="006A1298" w:rsidRDefault="006A129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9BF" w:rsidRDefault="00361125">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FDEF"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2F4287C"/>
    <w:multiLevelType w:val="multilevel"/>
    <w:tmpl w:val="B4B6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301045"/>
    <w:multiLevelType w:val="multilevel"/>
    <w:tmpl w:val="81D2FB5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i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53595368"/>
    <w:multiLevelType w:val="multilevel"/>
    <w:tmpl w:val="075E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447B24"/>
    <w:multiLevelType w:val="multilevel"/>
    <w:tmpl w:val="48A446B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5585237D"/>
    <w:multiLevelType w:val="hybridMultilevel"/>
    <w:tmpl w:val="640ED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B94F1F"/>
    <w:multiLevelType w:val="hybridMultilevel"/>
    <w:tmpl w:val="4908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75C54A67"/>
    <w:multiLevelType w:val="hybridMultilevel"/>
    <w:tmpl w:val="1ED414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9"/>
  </w:num>
  <w:num w:numId="6">
    <w:abstractNumId w:val="7"/>
  </w:num>
  <w:num w:numId="7">
    <w:abstractNumId w:val="5"/>
  </w:num>
  <w:num w:numId="8">
    <w:abstractNumId w:val="6"/>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54F"/>
    <w:rsid w:val="000016B8"/>
    <w:rsid w:val="00002E9F"/>
    <w:rsid w:val="0000302B"/>
    <w:rsid w:val="0000431C"/>
    <w:rsid w:val="00004A83"/>
    <w:rsid w:val="00004CAD"/>
    <w:rsid w:val="0000535D"/>
    <w:rsid w:val="00005729"/>
    <w:rsid w:val="00007F8B"/>
    <w:rsid w:val="00010043"/>
    <w:rsid w:val="00011454"/>
    <w:rsid w:val="000132CE"/>
    <w:rsid w:val="0001345C"/>
    <w:rsid w:val="000136A1"/>
    <w:rsid w:val="0001390E"/>
    <w:rsid w:val="00013E58"/>
    <w:rsid w:val="000140B9"/>
    <w:rsid w:val="00014A17"/>
    <w:rsid w:val="0001534F"/>
    <w:rsid w:val="00015861"/>
    <w:rsid w:val="0001748E"/>
    <w:rsid w:val="00017F57"/>
    <w:rsid w:val="00020A8D"/>
    <w:rsid w:val="00021000"/>
    <w:rsid w:val="00021FE4"/>
    <w:rsid w:val="00022CAE"/>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1CAA"/>
    <w:rsid w:val="000520AB"/>
    <w:rsid w:val="000526A1"/>
    <w:rsid w:val="00052BAD"/>
    <w:rsid w:val="000538AF"/>
    <w:rsid w:val="00054C0E"/>
    <w:rsid w:val="00055708"/>
    <w:rsid w:val="0005657B"/>
    <w:rsid w:val="00060719"/>
    <w:rsid w:val="00061765"/>
    <w:rsid w:val="00062429"/>
    <w:rsid w:val="00062643"/>
    <w:rsid w:val="00064A4A"/>
    <w:rsid w:val="00065DCB"/>
    <w:rsid w:val="00067279"/>
    <w:rsid w:val="00067ADB"/>
    <w:rsid w:val="00070141"/>
    <w:rsid w:val="000706BB"/>
    <w:rsid w:val="00070EE7"/>
    <w:rsid w:val="00071467"/>
    <w:rsid w:val="000721F0"/>
    <w:rsid w:val="00073883"/>
    <w:rsid w:val="00074002"/>
    <w:rsid w:val="0007465E"/>
    <w:rsid w:val="00076546"/>
    <w:rsid w:val="0007779F"/>
    <w:rsid w:val="000779C3"/>
    <w:rsid w:val="00080B8C"/>
    <w:rsid w:val="00080C13"/>
    <w:rsid w:val="000810E6"/>
    <w:rsid w:val="000814ED"/>
    <w:rsid w:val="00083298"/>
    <w:rsid w:val="00085765"/>
    <w:rsid w:val="00085A87"/>
    <w:rsid w:val="00085F6D"/>
    <w:rsid w:val="0008624B"/>
    <w:rsid w:val="00086A5A"/>
    <w:rsid w:val="000871C4"/>
    <w:rsid w:val="00087410"/>
    <w:rsid w:val="00087EC6"/>
    <w:rsid w:val="00090B12"/>
    <w:rsid w:val="00090F37"/>
    <w:rsid w:val="00091106"/>
    <w:rsid w:val="0009173D"/>
    <w:rsid w:val="000938A4"/>
    <w:rsid w:val="00093B00"/>
    <w:rsid w:val="00093CE1"/>
    <w:rsid w:val="00096D64"/>
    <w:rsid w:val="00096EE8"/>
    <w:rsid w:val="000970CB"/>
    <w:rsid w:val="00097363"/>
    <w:rsid w:val="000A698E"/>
    <w:rsid w:val="000A6D45"/>
    <w:rsid w:val="000A7484"/>
    <w:rsid w:val="000B07B8"/>
    <w:rsid w:val="000B1354"/>
    <w:rsid w:val="000B174F"/>
    <w:rsid w:val="000B3958"/>
    <w:rsid w:val="000B3EAF"/>
    <w:rsid w:val="000B4D44"/>
    <w:rsid w:val="000B58E7"/>
    <w:rsid w:val="000B627A"/>
    <w:rsid w:val="000B7362"/>
    <w:rsid w:val="000B78C8"/>
    <w:rsid w:val="000B7921"/>
    <w:rsid w:val="000B7AD1"/>
    <w:rsid w:val="000C0FDC"/>
    <w:rsid w:val="000C12C0"/>
    <w:rsid w:val="000C1660"/>
    <w:rsid w:val="000C2D00"/>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8C1"/>
    <w:rsid w:val="00102BA9"/>
    <w:rsid w:val="00102D3B"/>
    <w:rsid w:val="00103C54"/>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9F4"/>
    <w:rsid w:val="00127F59"/>
    <w:rsid w:val="001323AF"/>
    <w:rsid w:val="0013377B"/>
    <w:rsid w:val="001339BA"/>
    <w:rsid w:val="00133B5A"/>
    <w:rsid w:val="00134951"/>
    <w:rsid w:val="001405FC"/>
    <w:rsid w:val="001411AA"/>
    <w:rsid w:val="00144B68"/>
    <w:rsid w:val="00144E8C"/>
    <w:rsid w:val="001506FB"/>
    <w:rsid w:val="00151FD4"/>
    <w:rsid w:val="00152736"/>
    <w:rsid w:val="00152CED"/>
    <w:rsid w:val="00153BCF"/>
    <w:rsid w:val="001543E8"/>
    <w:rsid w:val="001559FE"/>
    <w:rsid w:val="00157EEF"/>
    <w:rsid w:val="0016177F"/>
    <w:rsid w:val="001631CF"/>
    <w:rsid w:val="0016345F"/>
    <w:rsid w:val="00163BBC"/>
    <w:rsid w:val="001640F0"/>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0EF"/>
    <w:rsid w:val="00175482"/>
    <w:rsid w:val="001756E2"/>
    <w:rsid w:val="001770D9"/>
    <w:rsid w:val="00177BE6"/>
    <w:rsid w:val="0018002B"/>
    <w:rsid w:val="00182F71"/>
    <w:rsid w:val="00184092"/>
    <w:rsid w:val="001842B8"/>
    <w:rsid w:val="001846D0"/>
    <w:rsid w:val="00186D21"/>
    <w:rsid w:val="001875E6"/>
    <w:rsid w:val="00191DA5"/>
    <w:rsid w:val="00192BFF"/>
    <w:rsid w:val="001943F2"/>
    <w:rsid w:val="00195052"/>
    <w:rsid w:val="0019534E"/>
    <w:rsid w:val="001A01D7"/>
    <w:rsid w:val="001A0389"/>
    <w:rsid w:val="001A07BB"/>
    <w:rsid w:val="001A10C0"/>
    <w:rsid w:val="001A1172"/>
    <w:rsid w:val="001A2375"/>
    <w:rsid w:val="001A5AC6"/>
    <w:rsid w:val="001A5B6D"/>
    <w:rsid w:val="001A6DBC"/>
    <w:rsid w:val="001A7DE6"/>
    <w:rsid w:val="001A7F0B"/>
    <w:rsid w:val="001B00FA"/>
    <w:rsid w:val="001B01D2"/>
    <w:rsid w:val="001B130F"/>
    <w:rsid w:val="001B15A3"/>
    <w:rsid w:val="001B2756"/>
    <w:rsid w:val="001B38D2"/>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4AC5"/>
    <w:rsid w:val="001F5DDC"/>
    <w:rsid w:val="001F5EAB"/>
    <w:rsid w:val="001F6E28"/>
    <w:rsid w:val="001F7941"/>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019"/>
    <w:rsid w:val="00220229"/>
    <w:rsid w:val="00220665"/>
    <w:rsid w:val="002230D6"/>
    <w:rsid w:val="00223A66"/>
    <w:rsid w:val="002266B4"/>
    <w:rsid w:val="00227588"/>
    <w:rsid w:val="00227C6E"/>
    <w:rsid w:val="00231199"/>
    <w:rsid w:val="002325A7"/>
    <w:rsid w:val="00233CCE"/>
    <w:rsid w:val="0023767B"/>
    <w:rsid w:val="00240487"/>
    <w:rsid w:val="002414F9"/>
    <w:rsid w:val="002424F4"/>
    <w:rsid w:val="00242DE3"/>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0C35"/>
    <w:rsid w:val="00262C2E"/>
    <w:rsid w:val="002645CC"/>
    <w:rsid w:val="002710F7"/>
    <w:rsid w:val="00271AFE"/>
    <w:rsid w:val="0027483B"/>
    <w:rsid w:val="00274C50"/>
    <w:rsid w:val="00274DBF"/>
    <w:rsid w:val="00274FB0"/>
    <w:rsid w:val="00276169"/>
    <w:rsid w:val="00277D54"/>
    <w:rsid w:val="00280064"/>
    <w:rsid w:val="002800D0"/>
    <w:rsid w:val="00280604"/>
    <w:rsid w:val="00280ACE"/>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279"/>
    <w:rsid w:val="00297E37"/>
    <w:rsid w:val="002A12B6"/>
    <w:rsid w:val="002A1D4C"/>
    <w:rsid w:val="002A3532"/>
    <w:rsid w:val="002A3537"/>
    <w:rsid w:val="002A3A3D"/>
    <w:rsid w:val="002A4E6C"/>
    <w:rsid w:val="002A5B47"/>
    <w:rsid w:val="002B029C"/>
    <w:rsid w:val="002B547D"/>
    <w:rsid w:val="002B59E0"/>
    <w:rsid w:val="002B7150"/>
    <w:rsid w:val="002B775A"/>
    <w:rsid w:val="002C3F88"/>
    <w:rsid w:val="002C4444"/>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E0B98"/>
    <w:rsid w:val="002E191B"/>
    <w:rsid w:val="002E2980"/>
    <w:rsid w:val="002E2997"/>
    <w:rsid w:val="002E34C0"/>
    <w:rsid w:val="002E3995"/>
    <w:rsid w:val="002E400D"/>
    <w:rsid w:val="002E46FE"/>
    <w:rsid w:val="002E47ED"/>
    <w:rsid w:val="002E4DC6"/>
    <w:rsid w:val="002E6389"/>
    <w:rsid w:val="002E6A28"/>
    <w:rsid w:val="002F283D"/>
    <w:rsid w:val="002F2E9E"/>
    <w:rsid w:val="002F3888"/>
    <w:rsid w:val="002F5523"/>
    <w:rsid w:val="00300656"/>
    <w:rsid w:val="00300693"/>
    <w:rsid w:val="00300D0E"/>
    <w:rsid w:val="00301208"/>
    <w:rsid w:val="00301E1F"/>
    <w:rsid w:val="00302B25"/>
    <w:rsid w:val="003035F0"/>
    <w:rsid w:val="00304C2A"/>
    <w:rsid w:val="00305F22"/>
    <w:rsid w:val="00307FC5"/>
    <w:rsid w:val="00312048"/>
    <w:rsid w:val="00312AD5"/>
    <w:rsid w:val="00314A05"/>
    <w:rsid w:val="0031523F"/>
    <w:rsid w:val="00315617"/>
    <w:rsid w:val="003158A3"/>
    <w:rsid w:val="003171FF"/>
    <w:rsid w:val="00320840"/>
    <w:rsid w:val="003213A3"/>
    <w:rsid w:val="00321474"/>
    <w:rsid w:val="00323202"/>
    <w:rsid w:val="00323269"/>
    <w:rsid w:val="00325558"/>
    <w:rsid w:val="00326E1F"/>
    <w:rsid w:val="00327337"/>
    <w:rsid w:val="003314D0"/>
    <w:rsid w:val="00332C25"/>
    <w:rsid w:val="00332DFD"/>
    <w:rsid w:val="0033440B"/>
    <w:rsid w:val="00335E86"/>
    <w:rsid w:val="00335EBF"/>
    <w:rsid w:val="00336206"/>
    <w:rsid w:val="003362DD"/>
    <w:rsid w:val="00336517"/>
    <w:rsid w:val="003367A5"/>
    <w:rsid w:val="00336FC6"/>
    <w:rsid w:val="00337985"/>
    <w:rsid w:val="00337FA3"/>
    <w:rsid w:val="003418B7"/>
    <w:rsid w:val="003422B8"/>
    <w:rsid w:val="0034594F"/>
    <w:rsid w:val="00347748"/>
    <w:rsid w:val="00347890"/>
    <w:rsid w:val="00351150"/>
    <w:rsid w:val="00352119"/>
    <w:rsid w:val="003527F0"/>
    <w:rsid w:val="00352B54"/>
    <w:rsid w:val="003533F6"/>
    <w:rsid w:val="003537F9"/>
    <w:rsid w:val="003571DA"/>
    <w:rsid w:val="0035774C"/>
    <w:rsid w:val="00357F3B"/>
    <w:rsid w:val="00361125"/>
    <w:rsid w:val="0036134D"/>
    <w:rsid w:val="00362597"/>
    <w:rsid w:val="00363D0D"/>
    <w:rsid w:val="00364893"/>
    <w:rsid w:val="00364DD0"/>
    <w:rsid w:val="00365020"/>
    <w:rsid w:val="00371C6C"/>
    <w:rsid w:val="00374673"/>
    <w:rsid w:val="00374E19"/>
    <w:rsid w:val="00375090"/>
    <w:rsid w:val="003750E0"/>
    <w:rsid w:val="003766D2"/>
    <w:rsid w:val="00377047"/>
    <w:rsid w:val="00377BE9"/>
    <w:rsid w:val="00377CD1"/>
    <w:rsid w:val="00380568"/>
    <w:rsid w:val="0038115C"/>
    <w:rsid w:val="0038149A"/>
    <w:rsid w:val="00381DD1"/>
    <w:rsid w:val="0038213A"/>
    <w:rsid w:val="003822B2"/>
    <w:rsid w:val="0038245B"/>
    <w:rsid w:val="003841E1"/>
    <w:rsid w:val="00386832"/>
    <w:rsid w:val="003875C6"/>
    <w:rsid w:val="003902B7"/>
    <w:rsid w:val="00390E32"/>
    <w:rsid w:val="00392300"/>
    <w:rsid w:val="003937B5"/>
    <w:rsid w:val="00393A06"/>
    <w:rsid w:val="00393AC9"/>
    <w:rsid w:val="003954D3"/>
    <w:rsid w:val="00395639"/>
    <w:rsid w:val="00396176"/>
    <w:rsid w:val="00397012"/>
    <w:rsid w:val="003971D5"/>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6766"/>
    <w:rsid w:val="003C711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389A"/>
    <w:rsid w:val="003F38B2"/>
    <w:rsid w:val="003F3F56"/>
    <w:rsid w:val="003F4563"/>
    <w:rsid w:val="003F56B2"/>
    <w:rsid w:val="003F636C"/>
    <w:rsid w:val="003F696A"/>
    <w:rsid w:val="003F700E"/>
    <w:rsid w:val="003F7614"/>
    <w:rsid w:val="003F7720"/>
    <w:rsid w:val="00400E2B"/>
    <w:rsid w:val="00401B48"/>
    <w:rsid w:val="00404E49"/>
    <w:rsid w:val="00405694"/>
    <w:rsid w:val="004056A4"/>
    <w:rsid w:val="004061FE"/>
    <w:rsid w:val="00407CDF"/>
    <w:rsid w:val="00412B8A"/>
    <w:rsid w:val="00413827"/>
    <w:rsid w:val="00413A88"/>
    <w:rsid w:val="00414417"/>
    <w:rsid w:val="00416D8B"/>
    <w:rsid w:val="00416FAE"/>
    <w:rsid w:val="0041746C"/>
    <w:rsid w:val="004175E9"/>
    <w:rsid w:val="00417E7D"/>
    <w:rsid w:val="00421F7C"/>
    <w:rsid w:val="0042252A"/>
    <w:rsid w:val="0042263F"/>
    <w:rsid w:val="00422F5D"/>
    <w:rsid w:val="00424D0C"/>
    <w:rsid w:val="00425C59"/>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079A"/>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5499"/>
    <w:rsid w:val="004758E8"/>
    <w:rsid w:val="0047792B"/>
    <w:rsid w:val="00477964"/>
    <w:rsid w:val="00480698"/>
    <w:rsid w:val="0048351E"/>
    <w:rsid w:val="004857BD"/>
    <w:rsid w:val="00487FFC"/>
    <w:rsid w:val="00490354"/>
    <w:rsid w:val="004905BD"/>
    <w:rsid w:val="00490B9B"/>
    <w:rsid w:val="00491A76"/>
    <w:rsid w:val="0049324E"/>
    <w:rsid w:val="00493A2A"/>
    <w:rsid w:val="00493B7A"/>
    <w:rsid w:val="00493C4B"/>
    <w:rsid w:val="00494724"/>
    <w:rsid w:val="004962B1"/>
    <w:rsid w:val="004962E5"/>
    <w:rsid w:val="0049683D"/>
    <w:rsid w:val="004A1EAA"/>
    <w:rsid w:val="004A297D"/>
    <w:rsid w:val="004A3DDC"/>
    <w:rsid w:val="004A6886"/>
    <w:rsid w:val="004A7226"/>
    <w:rsid w:val="004B0420"/>
    <w:rsid w:val="004B0F65"/>
    <w:rsid w:val="004B13BE"/>
    <w:rsid w:val="004B17C8"/>
    <w:rsid w:val="004B1968"/>
    <w:rsid w:val="004B2135"/>
    <w:rsid w:val="004B2C2B"/>
    <w:rsid w:val="004B4E09"/>
    <w:rsid w:val="004B57D8"/>
    <w:rsid w:val="004B592D"/>
    <w:rsid w:val="004B5D2F"/>
    <w:rsid w:val="004B75A6"/>
    <w:rsid w:val="004B7932"/>
    <w:rsid w:val="004C24A5"/>
    <w:rsid w:val="004C2BC2"/>
    <w:rsid w:val="004C314E"/>
    <w:rsid w:val="004C34F2"/>
    <w:rsid w:val="004C3761"/>
    <w:rsid w:val="004C3F0C"/>
    <w:rsid w:val="004C4AEC"/>
    <w:rsid w:val="004C5A2D"/>
    <w:rsid w:val="004C5D8E"/>
    <w:rsid w:val="004C7D9D"/>
    <w:rsid w:val="004D0E0D"/>
    <w:rsid w:val="004D1027"/>
    <w:rsid w:val="004D1EF4"/>
    <w:rsid w:val="004D3411"/>
    <w:rsid w:val="004D3C0B"/>
    <w:rsid w:val="004D3E28"/>
    <w:rsid w:val="004D435E"/>
    <w:rsid w:val="004D5413"/>
    <w:rsid w:val="004D5C38"/>
    <w:rsid w:val="004D62C1"/>
    <w:rsid w:val="004D6424"/>
    <w:rsid w:val="004D6F30"/>
    <w:rsid w:val="004D741F"/>
    <w:rsid w:val="004E015B"/>
    <w:rsid w:val="004E2040"/>
    <w:rsid w:val="004E407B"/>
    <w:rsid w:val="004E4EE5"/>
    <w:rsid w:val="004E6249"/>
    <w:rsid w:val="004E6637"/>
    <w:rsid w:val="004E6B7E"/>
    <w:rsid w:val="004E71F3"/>
    <w:rsid w:val="004E7A83"/>
    <w:rsid w:val="004E7ADB"/>
    <w:rsid w:val="004F0CAD"/>
    <w:rsid w:val="004F0EF2"/>
    <w:rsid w:val="004F1886"/>
    <w:rsid w:val="004F19C6"/>
    <w:rsid w:val="004F2420"/>
    <w:rsid w:val="004F26AD"/>
    <w:rsid w:val="004F2E12"/>
    <w:rsid w:val="004F3470"/>
    <w:rsid w:val="004F39D8"/>
    <w:rsid w:val="004F3D19"/>
    <w:rsid w:val="004F4EF3"/>
    <w:rsid w:val="004F6082"/>
    <w:rsid w:val="004F6976"/>
    <w:rsid w:val="004F69A9"/>
    <w:rsid w:val="004F7799"/>
    <w:rsid w:val="005003C9"/>
    <w:rsid w:val="005006E8"/>
    <w:rsid w:val="00500EAE"/>
    <w:rsid w:val="005029F6"/>
    <w:rsid w:val="0050326E"/>
    <w:rsid w:val="00505000"/>
    <w:rsid w:val="005053E5"/>
    <w:rsid w:val="00505B7F"/>
    <w:rsid w:val="005065E6"/>
    <w:rsid w:val="00506887"/>
    <w:rsid w:val="00507731"/>
    <w:rsid w:val="00507B58"/>
    <w:rsid w:val="00507CF5"/>
    <w:rsid w:val="00510756"/>
    <w:rsid w:val="00510ABA"/>
    <w:rsid w:val="005111AF"/>
    <w:rsid w:val="00511B50"/>
    <w:rsid w:val="005125CB"/>
    <w:rsid w:val="00514354"/>
    <w:rsid w:val="00514AB9"/>
    <w:rsid w:val="0051515A"/>
    <w:rsid w:val="005155CA"/>
    <w:rsid w:val="00515716"/>
    <w:rsid w:val="00516207"/>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615"/>
    <w:rsid w:val="00533BEC"/>
    <w:rsid w:val="00534B41"/>
    <w:rsid w:val="00535587"/>
    <w:rsid w:val="005368D4"/>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445"/>
    <w:rsid w:val="005646FC"/>
    <w:rsid w:val="00564C12"/>
    <w:rsid w:val="00565534"/>
    <w:rsid w:val="0056679D"/>
    <w:rsid w:val="00567709"/>
    <w:rsid w:val="005708EC"/>
    <w:rsid w:val="00572B08"/>
    <w:rsid w:val="005737DD"/>
    <w:rsid w:val="00573C76"/>
    <w:rsid w:val="005743D2"/>
    <w:rsid w:val="00574FFC"/>
    <w:rsid w:val="00575466"/>
    <w:rsid w:val="00575895"/>
    <w:rsid w:val="00576B2A"/>
    <w:rsid w:val="00577511"/>
    <w:rsid w:val="00577622"/>
    <w:rsid w:val="00580402"/>
    <w:rsid w:val="0058195B"/>
    <w:rsid w:val="00581A0A"/>
    <w:rsid w:val="005830BF"/>
    <w:rsid w:val="00586A7B"/>
    <w:rsid w:val="005872ED"/>
    <w:rsid w:val="00591A96"/>
    <w:rsid w:val="00592139"/>
    <w:rsid w:val="00592143"/>
    <w:rsid w:val="0059225D"/>
    <w:rsid w:val="00592356"/>
    <w:rsid w:val="0059309B"/>
    <w:rsid w:val="005952A8"/>
    <w:rsid w:val="0059621C"/>
    <w:rsid w:val="005962EA"/>
    <w:rsid w:val="005973D7"/>
    <w:rsid w:val="0059771E"/>
    <w:rsid w:val="005A0DCD"/>
    <w:rsid w:val="005A25F2"/>
    <w:rsid w:val="005A2896"/>
    <w:rsid w:val="005A2B2D"/>
    <w:rsid w:val="005A2DC6"/>
    <w:rsid w:val="005A3A98"/>
    <w:rsid w:val="005A43BC"/>
    <w:rsid w:val="005A5519"/>
    <w:rsid w:val="005A5AF7"/>
    <w:rsid w:val="005A5D7E"/>
    <w:rsid w:val="005A5E02"/>
    <w:rsid w:val="005A61DB"/>
    <w:rsid w:val="005A629D"/>
    <w:rsid w:val="005A7124"/>
    <w:rsid w:val="005A745A"/>
    <w:rsid w:val="005A7E96"/>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3D10"/>
    <w:rsid w:val="005C4971"/>
    <w:rsid w:val="005C5509"/>
    <w:rsid w:val="005C6688"/>
    <w:rsid w:val="005C7969"/>
    <w:rsid w:val="005C7DC0"/>
    <w:rsid w:val="005D0349"/>
    <w:rsid w:val="005D0ED8"/>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4299"/>
    <w:rsid w:val="006153F4"/>
    <w:rsid w:val="00615923"/>
    <w:rsid w:val="00615E3C"/>
    <w:rsid w:val="00615FC2"/>
    <w:rsid w:val="00616D8F"/>
    <w:rsid w:val="0061720A"/>
    <w:rsid w:val="00617894"/>
    <w:rsid w:val="006179EA"/>
    <w:rsid w:val="00621206"/>
    <w:rsid w:val="00623975"/>
    <w:rsid w:val="00623A21"/>
    <w:rsid w:val="00627174"/>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5537"/>
    <w:rsid w:val="006564DE"/>
    <w:rsid w:val="00656B71"/>
    <w:rsid w:val="00656EF4"/>
    <w:rsid w:val="00660878"/>
    <w:rsid w:val="00662389"/>
    <w:rsid w:val="00662710"/>
    <w:rsid w:val="0066275F"/>
    <w:rsid w:val="00663BBD"/>
    <w:rsid w:val="00664A56"/>
    <w:rsid w:val="00665540"/>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591"/>
    <w:rsid w:val="006807A0"/>
    <w:rsid w:val="0068154E"/>
    <w:rsid w:val="006816F3"/>
    <w:rsid w:val="0068177C"/>
    <w:rsid w:val="00681B20"/>
    <w:rsid w:val="00681DB9"/>
    <w:rsid w:val="0068219B"/>
    <w:rsid w:val="00686741"/>
    <w:rsid w:val="00686D10"/>
    <w:rsid w:val="00687684"/>
    <w:rsid w:val="00687F0A"/>
    <w:rsid w:val="0069011D"/>
    <w:rsid w:val="00690294"/>
    <w:rsid w:val="00690B06"/>
    <w:rsid w:val="00690D98"/>
    <w:rsid w:val="00691009"/>
    <w:rsid w:val="00691FC7"/>
    <w:rsid w:val="00692C8B"/>
    <w:rsid w:val="00693084"/>
    <w:rsid w:val="00693741"/>
    <w:rsid w:val="006950A8"/>
    <w:rsid w:val="006962C5"/>
    <w:rsid w:val="006962CC"/>
    <w:rsid w:val="00696D49"/>
    <w:rsid w:val="0069700C"/>
    <w:rsid w:val="00697351"/>
    <w:rsid w:val="00697B49"/>
    <w:rsid w:val="006A026A"/>
    <w:rsid w:val="006A05FE"/>
    <w:rsid w:val="006A1013"/>
    <w:rsid w:val="006A1298"/>
    <w:rsid w:val="006A13CD"/>
    <w:rsid w:val="006A2428"/>
    <w:rsid w:val="006A4153"/>
    <w:rsid w:val="006A4B5E"/>
    <w:rsid w:val="006A4F07"/>
    <w:rsid w:val="006A4FDC"/>
    <w:rsid w:val="006A67D1"/>
    <w:rsid w:val="006A724E"/>
    <w:rsid w:val="006A7AAB"/>
    <w:rsid w:val="006A7E36"/>
    <w:rsid w:val="006B0104"/>
    <w:rsid w:val="006B0CE9"/>
    <w:rsid w:val="006B4F26"/>
    <w:rsid w:val="006B5C5B"/>
    <w:rsid w:val="006B7CD8"/>
    <w:rsid w:val="006C07B1"/>
    <w:rsid w:val="006C1012"/>
    <w:rsid w:val="006C1E23"/>
    <w:rsid w:val="006C29F4"/>
    <w:rsid w:val="006C391F"/>
    <w:rsid w:val="006C413B"/>
    <w:rsid w:val="006C4F69"/>
    <w:rsid w:val="006C514B"/>
    <w:rsid w:val="006C546D"/>
    <w:rsid w:val="006C5492"/>
    <w:rsid w:val="006C591C"/>
    <w:rsid w:val="006C7634"/>
    <w:rsid w:val="006C7934"/>
    <w:rsid w:val="006C7AD7"/>
    <w:rsid w:val="006D1051"/>
    <w:rsid w:val="006D24DB"/>
    <w:rsid w:val="006D295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701350"/>
    <w:rsid w:val="007020AB"/>
    <w:rsid w:val="0070448B"/>
    <w:rsid w:val="00705562"/>
    <w:rsid w:val="00705BDE"/>
    <w:rsid w:val="00707F3B"/>
    <w:rsid w:val="00707F76"/>
    <w:rsid w:val="00711327"/>
    <w:rsid w:val="00711381"/>
    <w:rsid w:val="0071244D"/>
    <w:rsid w:val="007124CB"/>
    <w:rsid w:val="00712FAC"/>
    <w:rsid w:val="00713175"/>
    <w:rsid w:val="00714F87"/>
    <w:rsid w:val="00716A4F"/>
    <w:rsid w:val="00716DCC"/>
    <w:rsid w:val="00717652"/>
    <w:rsid w:val="00720316"/>
    <w:rsid w:val="007209BE"/>
    <w:rsid w:val="00720A1F"/>
    <w:rsid w:val="00720F5A"/>
    <w:rsid w:val="00721247"/>
    <w:rsid w:val="00721490"/>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6C4"/>
    <w:rsid w:val="00733FDA"/>
    <w:rsid w:val="00733FEF"/>
    <w:rsid w:val="0073481A"/>
    <w:rsid w:val="00735111"/>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678"/>
    <w:rsid w:val="00765B36"/>
    <w:rsid w:val="00766323"/>
    <w:rsid w:val="00766EB9"/>
    <w:rsid w:val="007707E8"/>
    <w:rsid w:val="00771AF7"/>
    <w:rsid w:val="00771CE8"/>
    <w:rsid w:val="00772BC6"/>
    <w:rsid w:val="00772EB6"/>
    <w:rsid w:val="00773936"/>
    <w:rsid w:val="00774707"/>
    <w:rsid w:val="007756C3"/>
    <w:rsid w:val="007756D7"/>
    <w:rsid w:val="007762BA"/>
    <w:rsid w:val="00776750"/>
    <w:rsid w:val="007767A6"/>
    <w:rsid w:val="00776880"/>
    <w:rsid w:val="007770CE"/>
    <w:rsid w:val="00777C6A"/>
    <w:rsid w:val="00777D08"/>
    <w:rsid w:val="00777FAD"/>
    <w:rsid w:val="0078003D"/>
    <w:rsid w:val="00781B93"/>
    <w:rsid w:val="00782F16"/>
    <w:rsid w:val="00783044"/>
    <w:rsid w:val="00785FDA"/>
    <w:rsid w:val="00786016"/>
    <w:rsid w:val="00787D1A"/>
    <w:rsid w:val="00791027"/>
    <w:rsid w:val="007920A7"/>
    <w:rsid w:val="00792F6B"/>
    <w:rsid w:val="00793318"/>
    <w:rsid w:val="00795B17"/>
    <w:rsid w:val="00796162"/>
    <w:rsid w:val="007973EF"/>
    <w:rsid w:val="007A0C62"/>
    <w:rsid w:val="007A0D3E"/>
    <w:rsid w:val="007A12C2"/>
    <w:rsid w:val="007A201A"/>
    <w:rsid w:val="007A33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0DA3"/>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68EE"/>
    <w:rsid w:val="008179BE"/>
    <w:rsid w:val="00817C71"/>
    <w:rsid w:val="00817D38"/>
    <w:rsid w:val="0082113E"/>
    <w:rsid w:val="00823534"/>
    <w:rsid w:val="00823724"/>
    <w:rsid w:val="008245B8"/>
    <w:rsid w:val="008255E9"/>
    <w:rsid w:val="00825617"/>
    <w:rsid w:val="00825C85"/>
    <w:rsid w:val="00825DA9"/>
    <w:rsid w:val="008266A8"/>
    <w:rsid w:val="008302FC"/>
    <w:rsid w:val="008304B6"/>
    <w:rsid w:val="008307EF"/>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4216"/>
    <w:rsid w:val="00845538"/>
    <w:rsid w:val="00846BA1"/>
    <w:rsid w:val="0085255B"/>
    <w:rsid w:val="00852AC5"/>
    <w:rsid w:val="00852D70"/>
    <w:rsid w:val="0085479D"/>
    <w:rsid w:val="008551A1"/>
    <w:rsid w:val="00855F1F"/>
    <w:rsid w:val="008568DC"/>
    <w:rsid w:val="00856CA1"/>
    <w:rsid w:val="00857E30"/>
    <w:rsid w:val="0086070C"/>
    <w:rsid w:val="0086081C"/>
    <w:rsid w:val="00861019"/>
    <w:rsid w:val="008626E7"/>
    <w:rsid w:val="008633EB"/>
    <w:rsid w:val="00863AB7"/>
    <w:rsid w:val="0086496D"/>
    <w:rsid w:val="008662B1"/>
    <w:rsid w:val="008675F1"/>
    <w:rsid w:val="008749A6"/>
    <w:rsid w:val="00874A27"/>
    <w:rsid w:val="00874D01"/>
    <w:rsid w:val="00877840"/>
    <w:rsid w:val="008814FA"/>
    <w:rsid w:val="00881C2E"/>
    <w:rsid w:val="00882A42"/>
    <w:rsid w:val="008832A2"/>
    <w:rsid w:val="00883F77"/>
    <w:rsid w:val="00885534"/>
    <w:rsid w:val="008865AF"/>
    <w:rsid w:val="00887E4A"/>
    <w:rsid w:val="008906C9"/>
    <w:rsid w:val="008913A8"/>
    <w:rsid w:val="00894F3E"/>
    <w:rsid w:val="008966D2"/>
    <w:rsid w:val="00896757"/>
    <w:rsid w:val="00897602"/>
    <w:rsid w:val="008A2955"/>
    <w:rsid w:val="008A3511"/>
    <w:rsid w:val="008A3ABF"/>
    <w:rsid w:val="008A61E7"/>
    <w:rsid w:val="008A638F"/>
    <w:rsid w:val="008A73D8"/>
    <w:rsid w:val="008A7AF2"/>
    <w:rsid w:val="008B04F4"/>
    <w:rsid w:val="008B1EBE"/>
    <w:rsid w:val="008B2B69"/>
    <w:rsid w:val="008B350B"/>
    <w:rsid w:val="008B3D90"/>
    <w:rsid w:val="008B3FC3"/>
    <w:rsid w:val="008B4536"/>
    <w:rsid w:val="008B4B23"/>
    <w:rsid w:val="008B552B"/>
    <w:rsid w:val="008B5654"/>
    <w:rsid w:val="008B5D1F"/>
    <w:rsid w:val="008B6375"/>
    <w:rsid w:val="008B69D4"/>
    <w:rsid w:val="008B6CD7"/>
    <w:rsid w:val="008B7529"/>
    <w:rsid w:val="008C1879"/>
    <w:rsid w:val="008C1E64"/>
    <w:rsid w:val="008C3B29"/>
    <w:rsid w:val="008C551F"/>
    <w:rsid w:val="008C71D2"/>
    <w:rsid w:val="008C7307"/>
    <w:rsid w:val="008D06C5"/>
    <w:rsid w:val="008D17C4"/>
    <w:rsid w:val="008D29DD"/>
    <w:rsid w:val="008D3400"/>
    <w:rsid w:val="008D6685"/>
    <w:rsid w:val="008D687A"/>
    <w:rsid w:val="008D6B6B"/>
    <w:rsid w:val="008D796B"/>
    <w:rsid w:val="008D79A2"/>
    <w:rsid w:val="008E01AD"/>
    <w:rsid w:val="008E0511"/>
    <w:rsid w:val="008E15E1"/>
    <w:rsid w:val="008E1CE3"/>
    <w:rsid w:val="008E2E78"/>
    <w:rsid w:val="008E3E6B"/>
    <w:rsid w:val="008E4312"/>
    <w:rsid w:val="008E55F0"/>
    <w:rsid w:val="008E6825"/>
    <w:rsid w:val="008E6BE1"/>
    <w:rsid w:val="008E75F3"/>
    <w:rsid w:val="008E7714"/>
    <w:rsid w:val="008E795D"/>
    <w:rsid w:val="008F1D32"/>
    <w:rsid w:val="008F20A2"/>
    <w:rsid w:val="008F2CAC"/>
    <w:rsid w:val="008F4A0C"/>
    <w:rsid w:val="008F4CEC"/>
    <w:rsid w:val="008F4F30"/>
    <w:rsid w:val="008F51D0"/>
    <w:rsid w:val="008F60E6"/>
    <w:rsid w:val="008F6943"/>
    <w:rsid w:val="00901B05"/>
    <w:rsid w:val="00902259"/>
    <w:rsid w:val="009028D4"/>
    <w:rsid w:val="00902B21"/>
    <w:rsid w:val="0090488C"/>
    <w:rsid w:val="00904A22"/>
    <w:rsid w:val="0090697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21D1"/>
    <w:rsid w:val="00933F88"/>
    <w:rsid w:val="00934584"/>
    <w:rsid w:val="00934D14"/>
    <w:rsid w:val="00935D3E"/>
    <w:rsid w:val="00936FF5"/>
    <w:rsid w:val="00937148"/>
    <w:rsid w:val="00937BA0"/>
    <w:rsid w:val="009411C0"/>
    <w:rsid w:val="00942224"/>
    <w:rsid w:val="00942D0D"/>
    <w:rsid w:val="00943DF2"/>
    <w:rsid w:val="009446B9"/>
    <w:rsid w:val="009447D3"/>
    <w:rsid w:val="0094560F"/>
    <w:rsid w:val="00945F57"/>
    <w:rsid w:val="00946501"/>
    <w:rsid w:val="00947FE7"/>
    <w:rsid w:val="0095095D"/>
    <w:rsid w:val="00950A29"/>
    <w:rsid w:val="00950C9A"/>
    <w:rsid w:val="00951830"/>
    <w:rsid w:val="009528B9"/>
    <w:rsid w:val="00952BC4"/>
    <w:rsid w:val="00952D3F"/>
    <w:rsid w:val="00954866"/>
    <w:rsid w:val="00954CE5"/>
    <w:rsid w:val="00955B86"/>
    <w:rsid w:val="009568C5"/>
    <w:rsid w:val="00956AB2"/>
    <w:rsid w:val="00956B33"/>
    <w:rsid w:val="009576B9"/>
    <w:rsid w:val="00957CBA"/>
    <w:rsid w:val="009613BA"/>
    <w:rsid w:val="00962708"/>
    <w:rsid w:val="00962BEF"/>
    <w:rsid w:val="00963273"/>
    <w:rsid w:val="00963640"/>
    <w:rsid w:val="009653AF"/>
    <w:rsid w:val="0096550C"/>
    <w:rsid w:val="009665BC"/>
    <w:rsid w:val="009677A7"/>
    <w:rsid w:val="00967FB6"/>
    <w:rsid w:val="0097000B"/>
    <w:rsid w:val="0097252B"/>
    <w:rsid w:val="009725AA"/>
    <w:rsid w:val="00972B36"/>
    <w:rsid w:val="00974939"/>
    <w:rsid w:val="009749E0"/>
    <w:rsid w:val="00976551"/>
    <w:rsid w:val="00977434"/>
    <w:rsid w:val="0098195E"/>
    <w:rsid w:val="00982C1F"/>
    <w:rsid w:val="00982EC2"/>
    <w:rsid w:val="00983C0A"/>
    <w:rsid w:val="00983C2C"/>
    <w:rsid w:val="00984A5D"/>
    <w:rsid w:val="009858B8"/>
    <w:rsid w:val="00985EB4"/>
    <w:rsid w:val="00986FB8"/>
    <w:rsid w:val="00987055"/>
    <w:rsid w:val="00987260"/>
    <w:rsid w:val="00991338"/>
    <w:rsid w:val="00991C7E"/>
    <w:rsid w:val="00991D32"/>
    <w:rsid w:val="00994CDD"/>
    <w:rsid w:val="009956FF"/>
    <w:rsid w:val="00996986"/>
    <w:rsid w:val="009A00B8"/>
    <w:rsid w:val="009A03AC"/>
    <w:rsid w:val="009A1F28"/>
    <w:rsid w:val="009A5018"/>
    <w:rsid w:val="009A573B"/>
    <w:rsid w:val="009A590F"/>
    <w:rsid w:val="009A5955"/>
    <w:rsid w:val="009B04F4"/>
    <w:rsid w:val="009B1BA2"/>
    <w:rsid w:val="009B4936"/>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39BF"/>
    <w:rsid w:val="009D51A0"/>
    <w:rsid w:val="009D540D"/>
    <w:rsid w:val="009D5B15"/>
    <w:rsid w:val="009D5F07"/>
    <w:rsid w:val="009D6614"/>
    <w:rsid w:val="009D765C"/>
    <w:rsid w:val="009D76C3"/>
    <w:rsid w:val="009E094A"/>
    <w:rsid w:val="009E0E02"/>
    <w:rsid w:val="009E3C97"/>
    <w:rsid w:val="009E42A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1EC8"/>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1696"/>
    <w:rsid w:val="00A33EAF"/>
    <w:rsid w:val="00A345FB"/>
    <w:rsid w:val="00A351AA"/>
    <w:rsid w:val="00A35A29"/>
    <w:rsid w:val="00A36159"/>
    <w:rsid w:val="00A37C68"/>
    <w:rsid w:val="00A37DD1"/>
    <w:rsid w:val="00A37F2F"/>
    <w:rsid w:val="00A37FD3"/>
    <w:rsid w:val="00A40006"/>
    <w:rsid w:val="00A401B4"/>
    <w:rsid w:val="00A41568"/>
    <w:rsid w:val="00A415EA"/>
    <w:rsid w:val="00A41DE0"/>
    <w:rsid w:val="00A41F66"/>
    <w:rsid w:val="00A43161"/>
    <w:rsid w:val="00A431D4"/>
    <w:rsid w:val="00A4345D"/>
    <w:rsid w:val="00A4372C"/>
    <w:rsid w:val="00A476C4"/>
    <w:rsid w:val="00A4799E"/>
    <w:rsid w:val="00A5027B"/>
    <w:rsid w:val="00A50BBB"/>
    <w:rsid w:val="00A5198A"/>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280D"/>
    <w:rsid w:val="00A832B9"/>
    <w:rsid w:val="00A856D8"/>
    <w:rsid w:val="00A864A6"/>
    <w:rsid w:val="00A86B1A"/>
    <w:rsid w:val="00A87EC6"/>
    <w:rsid w:val="00A913CC"/>
    <w:rsid w:val="00A93364"/>
    <w:rsid w:val="00A93426"/>
    <w:rsid w:val="00A945EC"/>
    <w:rsid w:val="00A94F42"/>
    <w:rsid w:val="00A9568B"/>
    <w:rsid w:val="00A958E5"/>
    <w:rsid w:val="00AA0054"/>
    <w:rsid w:val="00AA1990"/>
    <w:rsid w:val="00AA1C7B"/>
    <w:rsid w:val="00AA3574"/>
    <w:rsid w:val="00AA48A8"/>
    <w:rsid w:val="00AA558B"/>
    <w:rsid w:val="00AA6B54"/>
    <w:rsid w:val="00AA728F"/>
    <w:rsid w:val="00AB1308"/>
    <w:rsid w:val="00AB1433"/>
    <w:rsid w:val="00AB2330"/>
    <w:rsid w:val="00AB2765"/>
    <w:rsid w:val="00AB46D0"/>
    <w:rsid w:val="00AB4990"/>
    <w:rsid w:val="00AB50DA"/>
    <w:rsid w:val="00AB759F"/>
    <w:rsid w:val="00AC15BA"/>
    <w:rsid w:val="00AC313D"/>
    <w:rsid w:val="00AC39DD"/>
    <w:rsid w:val="00AC4A9F"/>
    <w:rsid w:val="00AC5F75"/>
    <w:rsid w:val="00AC76DA"/>
    <w:rsid w:val="00AC7729"/>
    <w:rsid w:val="00AC7E9E"/>
    <w:rsid w:val="00AD1218"/>
    <w:rsid w:val="00AD1423"/>
    <w:rsid w:val="00AD189B"/>
    <w:rsid w:val="00AD1DA8"/>
    <w:rsid w:val="00AD39D2"/>
    <w:rsid w:val="00AD40D1"/>
    <w:rsid w:val="00AD4926"/>
    <w:rsid w:val="00AD4BF5"/>
    <w:rsid w:val="00AD7F59"/>
    <w:rsid w:val="00AE0CA8"/>
    <w:rsid w:val="00AE186D"/>
    <w:rsid w:val="00AE2B6E"/>
    <w:rsid w:val="00AE417C"/>
    <w:rsid w:val="00AE4260"/>
    <w:rsid w:val="00AE5491"/>
    <w:rsid w:val="00AE6393"/>
    <w:rsid w:val="00AE7D4E"/>
    <w:rsid w:val="00AF00EB"/>
    <w:rsid w:val="00AF05E7"/>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79CA"/>
    <w:rsid w:val="00B220FF"/>
    <w:rsid w:val="00B2286D"/>
    <w:rsid w:val="00B22EBE"/>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62CD"/>
    <w:rsid w:val="00B5772D"/>
    <w:rsid w:val="00B57E4A"/>
    <w:rsid w:val="00B57E5B"/>
    <w:rsid w:val="00B60C3C"/>
    <w:rsid w:val="00B61293"/>
    <w:rsid w:val="00B61484"/>
    <w:rsid w:val="00B61A05"/>
    <w:rsid w:val="00B62971"/>
    <w:rsid w:val="00B630A0"/>
    <w:rsid w:val="00B6411C"/>
    <w:rsid w:val="00B654D3"/>
    <w:rsid w:val="00B65E15"/>
    <w:rsid w:val="00B66DA5"/>
    <w:rsid w:val="00B7115C"/>
    <w:rsid w:val="00B71FB6"/>
    <w:rsid w:val="00B72169"/>
    <w:rsid w:val="00B722ED"/>
    <w:rsid w:val="00B745D2"/>
    <w:rsid w:val="00B75377"/>
    <w:rsid w:val="00B773A8"/>
    <w:rsid w:val="00B817CB"/>
    <w:rsid w:val="00B82E45"/>
    <w:rsid w:val="00B8403F"/>
    <w:rsid w:val="00B84150"/>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817"/>
    <w:rsid w:val="00B96108"/>
    <w:rsid w:val="00B97A0E"/>
    <w:rsid w:val="00BA1A75"/>
    <w:rsid w:val="00BA38C5"/>
    <w:rsid w:val="00BA43C2"/>
    <w:rsid w:val="00BA7425"/>
    <w:rsid w:val="00BA7696"/>
    <w:rsid w:val="00BA79F2"/>
    <w:rsid w:val="00BB0852"/>
    <w:rsid w:val="00BB2420"/>
    <w:rsid w:val="00BB3358"/>
    <w:rsid w:val="00BB50BC"/>
    <w:rsid w:val="00BC0F61"/>
    <w:rsid w:val="00BC18F4"/>
    <w:rsid w:val="00BC1E4D"/>
    <w:rsid w:val="00BC27E1"/>
    <w:rsid w:val="00BC28CF"/>
    <w:rsid w:val="00BC4C93"/>
    <w:rsid w:val="00BC5DC1"/>
    <w:rsid w:val="00BC5E11"/>
    <w:rsid w:val="00BC754A"/>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A97"/>
    <w:rsid w:val="00C30F1B"/>
    <w:rsid w:val="00C3178C"/>
    <w:rsid w:val="00C321F7"/>
    <w:rsid w:val="00C32A81"/>
    <w:rsid w:val="00C33237"/>
    <w:rsid w:val="00C341EC"/>
    <w:rsid w:val="00C3431E"/>
    <w:rsid w:val="00C351FB"/>
    <w:rsid w:val="00C359A6"/>
    <w:rsid w:val="00C37045"/>
    <w:rsid w:val="00C37B5B"/>
    <w:rsid w:val="00C467D6"/>
    <w:rsid w:val="00C47C41"/>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7E06"/>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9B"/>
    <w:rsid w:val="00C905A3"/>
    <w:rsid w:val="00C9061A"/>
    <w:rsid w:val="00C90758"/>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B0018"/>
    <w:rsid w:val="00CB0294"/>
    <w:rsid w:val="00CB0DB5"/>
    <w:rsid w:val="00CB4F68"/>
    <w:rsid w:val="00CB537D"/>
    <w:rsid w:val="00CB7205"/>
    <w:rsid w:val="00CC05DC"/>
    <w:rsid w:val="00CC2577"/>
    <w:rsid w:val="00CC35A7"/>
    <w:rsid w:val="00CC3EF8"/>
    <w:rsid w:val="00CC42F4"/>
    <w:rsid w:val="00CC7D49"/>
    <w:rsid w:val="00CC7EC2"/>
    <w:rsid w:val="00CD24D9"/>
    <w:rsid w:val="00CD3120"/>
    <w:rsid w:val="00CD3FE8"/>
    <w:rsid w:val="00CD4070"/>
    <w:rsid w:val="00CD4D8B"/>
    <w:rsid w:val="00CD5170"/>
    <w:rsid w:val="00CD5916"/>
    <w:rsid w:val="00CD5F0E"/>
    <w:rsid w:val="00CD653A"/>
    <w:rsid w:val="00CD6CC6"/>
    <w:rsid w:val="00CD6DD3"/>
    <w:rsid w:val="00CD71C9"/>
    <w:rsid w:val="00CD79D3"/>
    <w:rsid w:val="00CE015E"/>
    <w:rsid w:val="00CE16B3"/>
    <w:rsid w:val="00CE34E3"/>
    <w:rsid w:val="00CE6141"/>
    <w:rsid w:val="00CE6A00"/>
    <w:rsid w:val="00CE6BD8"/>
    <w:rsid w:val="00CE6D02"/>
    <w:rsid w:val="00CF114C"/>
    <w:rsid w:val="00CF1379"/>
    <w:rsid w:val="00CF1E31"/>
    <w:rsid w:val="00CF37FA"/>
    <w:rsid w:val="00D00B05"/>
    <w:rsid w:val="00D03D8B"/>
    <w:rsid w:val="00D04536"/>
    <w:rsid w:val="00D04797"/>
    <w:rsid w:val="00D05C5E"/>
    <w:rsid w:val="00D06DD7"/>
    <w:rsid w:val="00D071DE"/>
    <w:rsid w:val="00D07BC2"/>
    <w:rsid w:val="00D1072B"/>
    <w:rsid w:val="00D116D5"/>
    <w:rsid w:val="00D1180E"/>
    <w:rsid w:val="00D14864"/>
    <w:rsid w:val="00D14879"/>
    <w:rsid w:val="00D152D8"/>
    <w:rsid w:val="00D164B2"/>
    <w:rsid w:val="00D16874"/>
    <w:rsid w:val="00D17347"/>
    <w:rsid w:val="00D17EC4"/>
    <w:rsid w:val="00D20DAB"/>
    <w:rsid w:val="00D2153C"/>
    <w:rsid w:val="00D21DE1"/>
    <w:rsid w:val="00D22255"/>
    <w:rsid w:val="00D231F5"/>
    <w:rsid w:val="00D24FF8"/>
    <w:rsid w:val="00D25047"/>
    <w:rsid w:val="00D270B6"/>
    <w:rsid w:val="00D27236"/>
    <w:rsid w:val="00D27A8D"/>
    <w:rsid w:val="00D31F79"/>
    <w:rsid w:val="00D321DD"/>
    <w:rsid w:val="00D32C62"/>
    <w:rsid w:val="00D338C7"/>
    <w:rsid w:val="00D34245"/>
    <w:rsid w:val="00D34D3E"/>
    <w:rsid w:val="00D35362"/>
    <w:rsid w:val="00D35887"/>
    <w:rsid w:val="00D3590F"/>
    <w:rsid w:val="00D362F3"/>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296"/>
    <w:rsid w:val="00D64CF1"/>
    <w:rsid w:val="00D66A90"/>
    <w:rsid w:val="00D67D81"/>
    <w:rsid w:val="00D704E7"/>
    <w:rsid w:val="00D713D2"/>
    <w:rsid w:val="00D719C6"/>
    <w:rsid w:val="00D720E7"/>
    <w:rsid w:val="00D7253D"/>
    <w:rsid w:val="00D72FA9"/>
    <w:rsid w:val="00D73254"/>
    <w:rsid w:val="00D73329"/>
    <w:rsid w:val="00D753DC"/>
    <w:rsid w:val="00D75CDC"/>
    <w:rsid w:val="00D75FA8"/>
    <w:rsid w:val="00D80079"/>
    <w:rsid w:val="00D827EE"/>
    <w:rsid w:val="00D8420A"/>
    <w:rsid w:val="00D85832"/>
    <w:rsid w:val="00D859C1"/>
    <w:rsid w:val="00D86FD6"/>
    <w:rsid w:val="00D873F3"/>
    <w:rsid w:val="00D900D7"/>
    <w:rsid w:val="00D908E5"/>
    <w:rsid w:val="00D914B1"/>
    <w:rsid w:val="00D92778"/>
    <w:rsid w:val="00D9294F"/>
    <w:rsid w:val="00D92D28"/>
    <w:rsid w:val="00D92EBE"/>
    <w:rsid w:val="00D93C9F"/>
    <w:rsid w:val="00D93EB8"/>
    <w:rsid w:val="00D94134"/>
    <w:rsid w:val="00D94820"/>
    <w:rsid w:val="00D94EEA"/>
    <w:rsid w:val="00D962DF"/>
    <w:rsid w:val="00DA08AC"/>
    <w:rsid w:val="00DA1585"/>
    <w:rsid w:val="00DA2429"/>
    <w:rsid w:val="00DA2E2D"/>
    <w:rsid w:val="00DA5424"/>
    <w:rsid w:val="00DB0C1E"/>
    <w:rsid w:val="00DB38EE"/>
    <w:rsid w:val="00DB4291"/>
    <w:rsid w:val="00DB51F8"/>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AC6"/>
    <w:rsid w:val="00DD0D46"/>
    <w:rsid w:val="00DD1177"/>
    <w:rsid w:val="00DD4AD3"/>
    <w:rsid w:val="00DD4B2C"/>
    <w:rsid w:val="00DD4C44"/>
    <w:rsid w:val="00DD57A9"/>
    <w:rsid w:val="00DD6557"/>
    <w:rsid w:val="00DD71BB"/>
    <w:rsid w:val="00DD74D4"/>
    <w:rsid w:val="00DE0DE4"/>
    <w:rsid w:val="00DE1BD3"/>
    <w:rsid w:val="00DE2AB7"/>
    <w:rsid w:val="00DE3375"/>
    <w:rsid w:val="00DE34B2"/>
    <w:rsid w:val="00DE3944"/>
    <w:rsid w:val="00DE3A70"/>
    <w:rsid w:val="00DE432F"/>
    <w:rsid w:val="00DE5329"/>
    <w:rsid w:val="00DE6646"/>
    <w:rsid w:val="00DF121C"/>
    <w:rsid w:val="00DF2DB3"/>
    <w:rsid w:val="00DF2DFC"/>
    <w:rsid w:val="00DF306D"/>
    <w:rsid w:val="00DF3B6A"/>
    <w:rsid w:val="00DF546E"/>
    <w:rsid w:val="00DF5830"/>
    <w:rsid w:val="00DF6AC4"/>
    <w:rsid w:val="00DF6BC4"/>
    <w:rsid w:val="00DF6BE9"/>
    <w:rsid w:val="00DF7E92"/>
    <w:rsid w:val="00E00005"/>
    <w:rsid w:val="00E01892"/>
    <w:rsid w:val="00E02650"/>
    <w:rsid w:val="00E03ECE"/>
    <w:rsid w:val="00E03F69"/>
    <w:rsid w:val="00E0411E"/>
    <w:rsid w:val="00E05812"/>
    <w:rsid w:val="00E0656F"/>
    <w:rsid w:val="00E06AFC"/>
    <w:rsid w:val="00E074D8"/>
    <w:rsid w:val="00E10213"/>
    <w:rsid w:val="00E10C04"/>
    <w:rsid w:val="00E1297C"/>
    <w:rsid w:val="00E14756"/>
    <w:rsid w:val="00E14F30"/>
    <w:rsid w:val="00E1569B"/>
    <w:rsid w:val="00E15FD6"/>
    <w:rsid w:val="00E17EC6"/>
    <w:rsid w:val="00E23374"/>
    <w:rsid w:val="00E241BA"/>
    <w:rsid w:val="00E25E28"/>
    <w:rsid w:val="00E26297"/>
    <w:rsid w:val="00E277C0"/>
    <w:rsid w:val="00E310DE"/>
    <w:rsid w:val="00E31560"/>
    <w:rsid w:val="00E31A7E"/>
    <w:rsid w:val="00E31BD5"/>
    <w:rsid w:val="00E33A23"/>
    <w:rsid w:val="00E348D9"/>
    <w:rsid w:val="00E363B0"/>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27FF"/>
    <w:rsid w:val="00E7336D"/>
    <w:rsid w:val="00E7336F"/>
    <w:rsid w:val="00E759DC"/>
    <w:rsid w:val="00E76B29"/>
    <w:rsid w:val="00E76B33"/>
    <w:rsid w:val="00E76BF0"/>
    <w:rsid w:val="00E806C0"/>
    <w:rsid w:val="00E814D3"/>
    <w:rsid w:val="00E823A1"/>
    <w:rsid w:val="00E84140"/>
    <w:rsid w:val="00E8485A"/>
    <w:rsid w:val="00E84A97"/>
    <w:rsid w:val="00E84D7B"/>
    <w:rsid w:val="00E85BCF"/>
    <w:rsid w:val="00E86E58"/>
    <w:rsid w:val="00E87881"/>
    <w:rsid w:val="00E90376"/>
    <w:rsid w:val="00E918A3"/>
    <w:rsid w:val="00E94A22"/>
    <w:rsid w:val="00E959C0"/>
    <w:rsid w:val="00E96231"/>
    <w:rsid w:val="00E97E66"/>
    <w:rsid w:val="00EA1531"/>
    <w:rsid w:val="00EA2BE7"/>
    <w:rsid w:val="00EA2C89"/>
    <w:rsid w:val="00EA641E"/>
    <w:rsid w:val="00EB02F0"/>
    <w:rsid w:val="00EB055B"/>
    <w:rsid w:val="00EB1D2A"/>
    <w:rsid w:val="00EB2173"/>
    <w:rsid w:val="00EB34FB"/>
    <w:rsid w:val="00EB3594"/>
    <w:rsid w:val="00EB3D97"/>
    <w:rsid w:val="00EB4435"/>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66FE"/>
    <w:rsid w:val="00EE03AD"/>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B7B"/>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B9A"/>
    <w:rsid w:val="00F1748B"/>
    <w:rsid w:val="00F21CEE"/>
    <w:rsid w:val="00F2237C"/>
    <w:rsid w:val="00F238C8"/>
    <w:rsid w:val="00F23AB9"/>
    <w:rsid w:val="00F23B6B"/>
    <w:rsid w:val="00F24531"/>
    <w:rsid w:val="00F24598"/>
    <w:rsid w:val="00F251FC"/>
    <w:rsid w:val="00F272E5"/>
    <w:rsid w:val="00F303D5"/>
    <w:rsid w:val="00F30AC2"/>
    <w:rsid w:val="00F31484"/>
    <w:rsid w:val="00F33B3A"/>
    <w:rsid w:val="00F343D1"/>
    <w:rsid w:val="00F350ED"/>
    <w:rsid w:val="00F35C17"/>
    <w:rsid w:val="00F37A06"/>
    <w:rsid w:val="00F37E28"/>
    <w:rsid w:val="00F40B43"/>
    <w:rsid w:val="00F41331"/>
    <w:rsid w:val="00F4210B"/>
    <w:rsid w:val="00F4254B"/>
    <w:rsid w:val="00F46169"/>
    <w:rsid w:val="00F46CDF"/>
    <w:rsid w:val="00F46EF7"/>
    <w:rsid w:val="00F476F3"/>
    <w:rsid w:val="00F50A38"/>
    <w:rsid w:val="00F52429"/>
    <w:rsid w:val="00F54CC1"/>
    <w:rsid w:val="00F57999"/>
    <w:rsid w:val="00F6002A"/>
    <w:rsid w:val="00F60F67"/>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7E2"/>
    <w:rsid w:val="00F8451E"/>
    <w:rsid w:val="00F85CAF"/>
    <w:rsid w:val="00F8620C"/>
    <w:rsid w:val="00F87AB2"/>
    <w:rsid w:val="00F903D4"/>
    <w:rsid w:val="00F907C6"/>
    <w:rsid w:val="00F90ACA"/>
    <w:rsid w:val="00F90D57"/>
    <w:rsid w:val="00F923D1"/>
    <w:rsid w:val="00F9298A"/>
    <w:rsid w:val="00F92FF1"/>
    <w:rsid w:val="00F932C2"/>
    <w:rsid w:val="00F95411"/>
    <w:rsid w:val="00F95B1A"/>
    <w:rsid w:val="00F963E4"/>
    <w:rsid w:val="00F97450"/>
    <w:rsid w:val="00FA093E"/>
    <w:rsid w:val="00FA0A73"/>
    <w:rsid w:val="00FA0E8D"/>
    <w:rsid w:val="00FA1738"/>
    <w:rsid w:val="00FA1DC7"/>
    <w:rsid w:val="00FA3543"/>
    <w:rsid w:val="00FA5AAE"/>
    <w:rsid w:val="00FA6FE6"/>
    <w:rsid w:val="00FB0603"/>
    <w:rsid w:val="00FB0A32"/>
    <w:rsid w:val="00FB2B2C"/>
    <w:rsid w:val="00FB4864"/>
    <w:rsid w:val="00FB5532"/>
    <w:rsid w:val="00FB57FA"/>
    <w:rsid w:val="00FB699B"/>
    <w:rsid w:val="00FB69C9"/>
    <w:rsid w:val="00FB6AA8"/>
    <w:rsid w:val="00FC056B"/>
    <w:rsid w:val="00FC061F"/>
    <w:rsid w:val="00FC1797"/>
    <w:rsid w:val="00FC1E76"/>
    <w:rsid w:val="00FC29C9"/>
    <w:rsid w:val="00FC2F2F"/>
    <w:rsid w:val="00FC38F5"/>
    <w:rsid w:val="00FC45C4"/>
    <w:rsid w:val="00FC530E"/>
    <w:rsid w:val="00FC5432"/>
    <w:rsid w:val="00FD0981"/>
    <w:rsid w:val="00FD0B4F"/>
    <w:rsid w:val="00FD1AED"/>
    <w:rsid w:val="00FD2240"/>
    <w:rsid w:val="00FD2365"/>
    <w:rsid w:val="00FD4D2D"/>
    <w:rsid w:val="00FD7699"/>
    <w:rsid w:val="00FD7C51"/>
    <w:rsid w:val="00FE2E5D"/>
    <w:rsid w:val="00FE6740"/>
    <w:rsid w:val="00FE67C8"/>
    <w:rsid w:val="00FF06E7"/>
    <w:rsid w:val="00FF0BDF"/>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DCDFDACD-8E11-4919-9811-26C52CE55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paragraph" w:styleId="NormalWeb">
    <w:name w:val="Normal (Web)"/>
    <w:basedOn w:val="Normal"/>
    <w:uiPriority w:val="99"/>
    <w:unhideWhenUsed/>
    <w:rsid w:val="008E3E6B"/>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8E3E6B"/>
    <w:rPr>
      <w:b/>
      <w:bCs/>
    </w:rPr>
  </w:style>
  <w:style w:type="character" w:styleId="FollowedHyperlink">
    <w:name w:val="FollowedHyperlink"/>
    <w:basedOn w:val="DefaultParagraphFont"/>
    <w:uiPriority w:val="99"/>
    <w:semiHidden/>
    <w:unhideWhenUsed/>
    <w:rsid w:val="0027483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30312">
      <w:bodyDiv w:val="1"/>
      <w:marLeft w:val="0"/>
      <w:marRight w:val="0"/>
      <w:marTop w:val="0"/>
      <w:marBottom w:val="0"/>
      <w:divBdr>
        <w:top w:val="none" w:sz="0" w:space="0" w:color="auto"/>
        <w:left w:val="none" w:sz="0" w:space="0" w:color="auto"/>
        <w:bottom w:val="none" w:sz="0" w:space="0" w:color="auto"/>
        <w:right w:val="none" w:sz="0" w:space="0" w:color="auto"/>
      </w:divBdr>
    </w:div>
    <w:div w:id="467286256">
      <w:bodyDiv w:val="1"/>
      <w:marLeft w:val="0"/>
      <w:marRight w:val="0"/>
      <w:marTop w:val="0"/>
      <w:marBottom w:val="0"/>
      <w:divBdr>
        <w:top w:val="none" w:sz="0" w:space="0" w:color="auto"/>
        <w:left w:val="none" w:sz="0" w:space="0" w:color="auto"/>
        <w:bottom w:val="none" w:sz="0" w:space="0" w:color="auto"/>
        <w:right w:val="none" w:sz="0" w:space="0" w:color="auto"/>
      </w:divBdr>
    </w:div>
    <w:div w:id="882598818">
      <w:bodyDiv w:val="1"/>
      <w:marLeft w:val="0"/>
      <w:marRight w:val="0"/>
      <w:marTop w:val="0"/>
      <w:marBottom w:val="0"/>
      <w:divBdr>
        <w:top w:val="none" w:sz="0" w:space="0" w:color="auto"/>
        <w:left w:val="none" w:sz="0" w:space="0" w:color="auto"/>
        <w:bottom w:val="none" w:sz="0" w:space="0" w:color="auto"/>
        <w:right w:val="none" w:sz="0" w:space="0" w:color="auto"/>
      </w:divBdr>
    </w:div>
    <w:div w:id="931013270">
      <w:bodyDiv w:val="1"/>
      <w:marLeft w:val="0"/>
      <w:marRight w:val="0"/>
      <w:marTop w:val="0"/>
      <w:marBottom w:val="0"/>
      <w:divBdr>
        <w:top w:val="none" w:sz="0" w:space="0" w:color="auto"/>
        <w:left w:val="none" w:sz="0" w:space="0" w:color="auto"/>
        <w:bottom w:val="none" w:sz="0" w:space="0" w:color="auto"/>
        <w:right w:val="none" w:sz="0" w:space="0" w:color="auto"/>
      </w:divBdr>
    </w:div>
    <w:div w:id="1272585258">
      <w:bodyDiv w:val="1"/>
      <w:marLeft w:val="0"/>
      <w:marRight w:val="0"/>
      <w:marTop w:val="0"/>
      <w:marBottom w:val="0"/>
      <w:divBdr>
        <w:top w:val="none" w:sz="0" w:space="0" w:color="auto"/>
        <w:left w:val="none" w:sz="0" w:space="0" w:color="auto"/>
        <w:bottom w:val="none" w:sz="0" w:space="0" w:color="auto"/>
        <w:right w:val="none" w:sz="0" w:space="0" w:color="auto"/>
      </w:divBdr>
    </w:div>
    <w:div w:id="1415055436">
      <w:bodyDiv w:val="1"/>
      <w:marLeft w:val="0"/>
      <w:marRight w:val="0"/>
      <w:marTop w:val="0"/>
      <w:marBottom w:val="0"/>
      <w:divBdr>
        <w:top w:val="none" w:sz="0" w:space="0" w:color="auto"/>
        <w:left w:val="none" w:sz="0" w:space="0" w:color="auto"/>
        <w:bottom w:val="none" w:sz="0" w:space="0" w:color="auto"/>
        <w:right w:val="none" w:sz="0" w:space="0" w:color="auto"/>
      </w:divBdr>
    </w:div>
    <w:div w:id="179031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pdragon.org/" TargetMode="External"/><Relationship Id="rId13" Type="http://schemas.openxmlformats.org/officeDocument/2006/relationships/hyperlink" Target="http://papers.ssrn.com/sol3/papers.cfm?abstract_id=1885267"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researchgate.net/publication/256494748_Rise_and_demise_of_U.S._social_media_in_China_A_touchstone_of_WTO_and_BIT_regulations_(Sept._2011)_CHINAS_INFLUENCE_ON_NON-TRADE_CONCERNS_IN_INTERNATIONAL_ECONOMIC_LAW_Paolo_Farah_ed._Ashgate_Publishing_(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ragon.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marketing@profectiona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papers.ssrn.com/sol3/papers.cfm?abstract_id=2229842"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CE027-C153-44F3-8D2A-174FFCC6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CPD Course: Transnational Trademark Issues: Observations from a Century of Budweiser Conflicts - Profectional</vt:lpstr>
    </vt:vector>
  </TitlesOfParts>
  <Manager>Tyrone Tsang</Manager>
  <Company>The Profectional Company Limited</Company>
  <LinksUpToDate>false</LinksUpToDate>
  <CharactersWithSpaces>6453</CharactersWithSpaces>
  <SharedDoc>false</SharedDoc>
  <HyperlinkBase>http://download.profectional.com/events/EVT000000015.doc</HyperlinkBase>
  <HLinks>
    <vt:vector size="48" baseType="variant">
      <vt:variant>
        <vt:i4>5701733</vt:i4>
      </vt:variant>
      <vt:variant>
        <vt:i4>15</vt:i4>
      </vt:variant>
      <vt:variant>
        <vt:i4>0</vt:i4>
      </vt:variant>
      <vt:variant>
        <vt:i4>5</vt:i4>
      </vt:variant>
      <vt:variant>
        <vt:lpwstr>mailto:marketing@profectional.com</vt:lpwstr>
      </vt:variant>
      <vt:variant>
        <vt:lpwstr/>
      </vt:variant>
      <vt:variant>
        <vt:i4>2031648</vt:i4>
      </vt:variant>
      <vt:variant>
        <vt:i4>12</vt:i4>
      </vt:variant>
      <vt:variant>
        <vt:i4>0</vt:i4>
      </vt:variant>
      <vt:variant>
        <vt:i4>5</vt:i4>
      </vt:variant>
      <vt:variant>
        <vt:lpwstr>http://papers.ssrn.com/sol3/papers.cfm?abstract_id=2229842</vt:lpwstr>
      </vt:variant>
      <vt:variant>
        <vt:lpwstr/>
      </vt:variant>
      <vt:variant>
        <vt:i4>1638436</vt:i4>
      </vt:variant>
      <vt:variant>
        <vt:i4>9</vt:i4>
      </vt:variant>
      <vt:variant>
        <vt:i4>0</vt:i4>
      </vt:variant>
      <vt:variant>
        <vt:i4>5</vt:i4>
      </vt:variant>
      <vt:variant>
        <vt:lpwstr>http://papers.ssrn.com/sol3/papers.cfm?abstract_id=1885267</vt:lpwstr>
      </vt:variant>
      <vt:variant>
        <vt:lpwstr/>
      </vt:variant>
      <vt:variant>
        <vt:i4>1048673</vt:i4>
      </vt:variant>
      <vt:variant>
        <vt:i4>6</vt:i4>
      </vt:variant>
      <vt:variant>
        <vt:i4>0</vt:i4>
      </vt:variant>
      <vt:variant>
        <vt:i4>5</vt:i4>
      </vt:variant>
      <vt:variant>
        <vt:lpwstr>https://www.researchgate.net/publication/256494748_Rise_and_demise_of_U.S._social_media_in_China_A_touchstone_of_WTO_and_BIT_regulations_(Sept._2011)_CHINAS_INFLUENCE_ON_NON-TRADE_CONCERNS_IN_INTERNATIONAL_ECONOMIC_LAW_Paolo_Farah_ed._Ashgate_Publishing_(U</vt:lpwstr>
      </vt:variant>
      <vt:variant>
        <vt:lpwstr/>
      </vt:variant>
      <vt:variant>
        <vt:i4>5963859</vt:i4>
      </vt:variant>
      <vt:variant>
        <vt:i4>3</vt:i4>
      </vt:variant>
      <vt:variant>
        <vt:i4>0</vt:i4>
      </vt:variant>
      <vt:variant>
        <vt:i4>5</vt:i4>
      </vt:variant>
      <vt:variant>
        <vt:lpwstr>http://www.ipdragon.org/</vt:lpwstr>
      </vt:variant>
      <vt:variant>
        <vt:lpwstr/>
      </vt:variant>
      <vt:variant>
        <vt:i4>5963859</vt:i4>
      </vt:variant>
      <vt:variant>
        <vt:i4>0</vt:i4>
      </vt:variant>
      <vt:variant>
        <vt:i4>0</vt:i4>
      </vt:variant>
      <vt:variant>
        <vt:i4>5</vt:i4>
      </vt:variant>
      <vt:variant>
        <vt:lpwstr>http://www.ipdragon.org/</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Transnational Trademark Issues: Observations from a Century of Budweiser Conflicts - Profectional</dc:title>
  <dc:subject>CPD Course: Transnational Trademark Issues: Observations from a Century of Budweiser Conflicts - Profectional</dc:subject>
  <dc:creator>The Profectional Company Limited</dc:creator>
  <cp:keywords>Profectional; CPD; CPT; CLE; CE; RME; Danny Friedmann; PhD; LLM; BBA; Founder; Editor; IP Dragon</cp:keywords>
  <cp:lastModifiedBy>Tyrone Tsang</cp:lastModifiedBy>
  <cp:revision>2</cp:revision>
  <cp:lastPrinted>2013-05-06T11:47:00Z</cp:lastPrinted>
  <dcterms:created xsi:type="dcterms:W3CDTF">2015-03-06T08:38:00Z</dcterms:created>
  <dcterms:modified xsi:type="dcterms:W3CDTF">2015-03-06T08:38:00Z</dcterms:modified>
</cp:coreProperties>
</file>