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DB6" w:rsidRPr="00706DB6" w:rsidRDefault="00706DB6" w:rsidP="00706DB6">
      <w:pPr>
        <w:spacing w:line="276" w:lineRule="auto"/>
        <w:jc w:val="left"/>
        <w:rPr>
          <w:rFonts w:ascii="Arial" w:hAnsi="Arial" w:cs="Arial"/>
          <w:sz w:val="4"/>
          <w:szCs w:val="4"/>
        </w:rPr>
      </w:pPr>
      <w:bookmarkStart w:id="0" w:name="_GoBack"/>
      <w:bookmarkEnd w:id="0"/>
    </w:p>
    <w:tbl>
      <w:tblPr>
        <w:tblW w:w="10773" w:type="dxa"/>
        <w:jc w:val="center"/>
        <w:tblLook w:val="04A0" w:firstRow="1" w:lastRow="0" w:firstColumn="1" w:lastColumn="0" w:noHBand="0" w:noVBand="1"/>
      </w:tblPr>
      <w:tblGrid>
        <w:gridCol w:w="4797"/>
        <w:gridCol w:w="5976"/>
      </w:tblGrid>
      <w:tr w:rsidR="00706DB6" w:rsidRPr="00523A64" w:rsidTr="004D3A43">
        <w:trPr>
          <w:trHeight w:val="3119"/>
          <w:jc w:val="center"/>
        </w:trPr>
        <w:tc>
          <w:tcPr>
            <w:tcW w:w="4820" w:type="dxa"/>
            <w:shd w:val="clear" w:color="auto" w:fill="FFFFFF"/>
            <w:vAlign w:val="center"/>
          </w:tcPr>
          <w:p w:rsidR="00706DB6" w:rsidRPr="00510FE2" w:rsidRDefault="00706DB6" w:rsidP="004D3A43">
            <w:pPr>
              <w:jc w:val="center"/>
              <w:rPr>
                <w:rFonts w:ascii="Arial" w:hAnsi="Arial" w:cs="Arial"/>
                <w:b/>
                <w:bCs/>
                <w:color w:val="524B48"/>
                <w:sz w:val="24"/>
                <w:szCs w:val="24"/>
              </w:rPr>
            </w:pPr>
          </w:p>
          <w:p w:rsidR="00706DB6" w:rsidRDefault="00706DB6" w:rsidP="004D3A43">
            <w:pPr>
              <w:jc w:val="center"/>
              <w:rPr>
                <w:rFonts w:ascii="Arial" w:hAnsi="Arial" w:cs="Arial"/>
                <w:b/>
                <w:bCs/>
                <w:color w:val="524B48"/>
                <w:sz w:val="32"/>
                <w:szCs w:val="32"/>
              </w:rPr>
            </w:pPr>
            <w:r>
              <w:rPr>
                <w:rFonts w:ascii="Arial" w:hAnsi="Arial" w:cs="Arial"/>
                <w:b/>
                <w:bCs/>
                <w:color w:val="524B48"/>
                <w:sz w:val="32"/>
                <w:szCs w:val="32"/>
              </w:rPr>
              <w:t>SFC Case Studies:</w:t>
            </w:r>
          </w:p>
          <w:p w:rsidR="00706DB6" w:rsidRDefault="00706DB6" w:rsidP="004D3A43">
            <w:pPr>
              <w:jc w:val="center"/>
              <w:rPr>
                <w:rFonts w:ascii="Arial" w:hAnsi="Arial" w:cs="Arial"/>
                <w:b/>
                <w:bCs/>
                <w:color w:val="524B48"/>
                <w:sz w:val="32"/>
                <w:szCs w:val="32"/>
              </w:rPr>
            </w:pPr>
            <w:r>
              <w:rPr>
                <w:rFonts w:ascii="Arial" w:hAnsi="Arial" w:cs="Arial"/>
                <w:b/>
                <w:bCs/>
                <w:color w:val="524B48"/>
                <w:sz w:val="32"/>
                <w:szCs w:val="32"/>
              </w:rPr>
              <w:t>Preventing the Risk of</w:t>
            </w:r>
          </w:p>
          <w:p w:rsidR="00706DB6" w:rsidRDefault="00706DB6" w:rsidP="004D3A43">
            <w:pPr>
              <w:jc w:val="center"/>
              <w:rPr>
                <w:rFonts w:ascii="Arial" w:hAnsi="Arial" w:cs="Arial"/>
                <w:b/>
                <w:bCs/>
                <w:color w:val="524B48"/>
                <w:sz w:val="32"/>
                <w:szCs w:val="32"/>
              </w:rPr>
            </w:pPr>
            <w:r>
              <w:rPr>
                <w:rFonts w:ascii="Arial" w:hAnsi="Arial" w:cs="Arial"/>
                <w:b/>
                <w:bCs/>
                <w:color w:val="524B48"/>
                <w:sz w:val="32"/>
                <w:szCs w:val="32"/>
              </w:rPr>
              <w:t>Market Misconduct</w:t>
            </w:r>
          </w:p>
          <w:p w:rsidR="00706DB6" w:rsidRPr="00510FE2" w:rsidRDefault="00706DB6" w:rsidP="004D3A43">
            <w:pPr>
              <w:jc w:val="center"/>
              <w:rPr>
                <w:rFonts w:ascii="Arial" w:hAnsi="Arial" w:cs="Arial"/>
                <w:b/>
                <w:bCs/>
                <w:color w:val="524B48"/>
                <w:sz w:val="32"/>
                <w:szCs w:val="32"/>
              </w:rPr>
            </w:pPr>
            <w:r>
              <w:rPr>
                <w:rFonts w:ascii="Arial" w:hAnsi="Arial" w:cs="Arial"/>
                <w:b/>
                <w:bCs/>
                <w:color w:val="524B48"/>
                <w:sz w:val="32"/>
                <w:szCs w:val="32"/>
              </w:rPr>
              <w:t>Effectively</w:t>
            </w:r>
          </w:p>
          <w:p w:rsidR="00706DB6" w:rsidRPr="00510FE2" w:rsidRDefault="00706DB6" w:rsidP="004D3A43">
            <w:pPr>
              <w:jc w:val="center"/>
              <w:rPr>
                <w:rFonts w:ascii="Arial" w:hAnsi="Arial" w:cs="Arial"/>
                <w:b/>
                <w:bCs/>
                <w:sz w:val="28"/>
                <w:szCs w:val="28"/>
              </w:rPr>
            </w:pPr>
          </w:p>
          <w:p w:rsidR="00706DB6" w:rsidRPr="00CE10D9" w:rsidRDefault="00706DB6" w:rsidP="004D3A43">
            <w:pPr>
              <w:jc w:val="center"/>
              <w:rPr>
                <w:rFonts w:ascii="Arial" w:hAnsi="Arial" w:cs="Arial"/>
                <w:i/>
                <w:color w:val="6C6361"/>
                <w:sz w:val="24"/>
                <w:szCs w:val="24"/>
              </w:rPr>
            </w:pPr>
            <w:r w:rsidRPr="00CE10D9">
              <w:rPr>
                <w:rFonts w:ascii="Arial" w:hAnsi="Arial" w:cs="Arial"/>
                <w:i/>
                <w:color w:val="6C6361"/>
                <w:sz w:val="24"/>
                <w:szCs w:val="24"/>
              </w:rPr>
              <w:t>by</w:t>
            </w:r>
          </w:p>
          <w:p w:rsidR="00706DB6" w:rsidRDefault="00706DB6" w:rsidP="004D3A43">
            <w:pPr>
              <w:jc w:val="center"/>
              <w:rPr>
                <w:rFonts w:ascii="Arial" w:hAnsi="Arial" w:cs="Arial"/>
                <w:color w:val="6C6361"/>
                <w:sz w:val="24"/>
                <w:szCs w:val="24"/>
              </w:rPr>
            </w:pPr>
            <w:r>
              <w:rPr>
                <w:rFonts w:ascii="Arial" w:hAnsi="Arial" w:cs="Arial"/>
                <w:color w:val="6C6361"/>
                <w:sz w:val="24"/>
                <w:szCs w:val="24"/>
              </w:rPr>
              <w:t>Mr. Stephen Suen,</w:t>
            </w:r>
          </w:p>
          <w:p w:rsidR="00706DB6" w:rsidRDefault="00706DB6" w:rsidP="004D3A43">
            <w:pPr>
              <w:jc w:val="center"/>
              <w:rPr>
                <w:rFonts w:ascii="Arial" w:hAnsi="Arial" w:cs="Arial"/>
                <w:color w:val="6C6361"/>
                <w:sz w:val="24"/>
                <w:szCs w:val="24"/>
              </w:rPr>
            </w:pPr>
            <w:r>
              <w:rPr>
                <w:rFonts w:ascii="Arial" w:hAnsi="Arial" w:cs="Arial"/>
                <w:color w:val="6C6361"/>
                <w:sz w:val="24"/>
                <w:szCs w:val="24"/>
              </w:rPr>
              <w:t>Barrister-at-Law,</w:t>
            </w:r>
          </w:p>
          <w:p w:rsidR="00706DB6" w:rsidRDefault="00706DB6" w:rsidP="004D3A43">
            <w:pPr>
              <w:jc w:val="center"/>
              <w:rPr>
                <w:rFonts w:ascii="Arial" w:hAnsi="Arial" w:cs="Arial"/>
                <w:color w:val="6C6361"/>
                <w:sz w:val="24"/>
                <w:szCs w:val="24"/>
              </w:rPr>
            </w:pPr>
            <w:r>
              <w:rPr>
                <w:rFonts w:ascii="Arial" w:hAnsi="Arial" w:cs="Arial"/>
                <w:color w:val="6C6361"/>
                <w:sz w:val="24"/>
                <w:szCs w:val="24"/>
              </w:rPr>
              <w:t>Counsels Chambers</w:t>
            </w:r>
          </w:p>
          <w:p w:rsidR="00706DB6" w:rsidRPr="005C0156" w:rsidRDefault="00706DB6" w:rsidP="004D3A43">
            <w:pPr>
              <w:jc w:val="center"/>
              <w:rPr>
                <w:rFonts w:ascii="Arial" w:hAnsi="Arial" w:cs="Arial"/>
                <w:color w:val="6C6361"/>
                <w:sz w:val="24"/>
                <w:szCs w:val="24"/>
              </w:rPr>
            </w:pPr>
          </w:p>
        </w:tc>
        <w:tc>
          <w:tcPr>
            <w:tcW w:w="5954" w:type="dxa"/>
            <w:shd w:val="clear" w:color="auto" w:fill="FFFFFF"/>
            <w:vAlign w:val="center"/>
          </w:tcPr>
          <w:p w:rsidR="00706DB6" w:rsidRPr="00D50772" w:rsidRDefault="003F386B" w:rsidP="004D3A43">
            <w:pPr>
              <w:spacing w:line="276" w:lineRule="auto"/>
              <w:jc w:val="center"/>
              <w:rPr>
                <w:rFonts w:ascii="Arial" w:eastAsia="Times New Roman" w:hAnsi="Arial" w:cs="Arial"/>
                <w:noProof/>
                <w:sz w:val="20"/>
                <w:szCs w:val="20"/>
              </w:rPr>
            </w:pPr>
            <w:r w:rsidRPr="00C93BD8">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706DB6" w:rsidRPr="00BA43E2" w:rsidRDefault="00706DB6" w:rsidP="00706DB6">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706DB6" w:rsidRPr="0083559D" w:rsidTr="004D3A43">
        <w:trPr>
          <w:trHeight w:val="10285"/>
          <w:jc w:val="center"/>
        </w:trPr>
        <w:tc>
          <w:tcPr>
            <w:tcW w:w="1985" w:type="dxa"/>
            <w:shd w:val="clear" w:color="auto" w:fill="FFFFFF"/>
            <w:vAlign w:val="center"/>
          </w:tcPr>
          <w:p w:rsidR="00706DB6" w:rsidRPr="0083559D" w:rsidRDefault="003F386B" w:rsidP="00706DB6">
            <w:pPr>
              <w:spacing w:line="276" w:lineRule="auto"/>
              <w:jc w:val="center"/>
              <w:rPr>
                <w:rFonts w:ascii="Arial" w:hAnsi="Arial" w:cs="Arial"/>
              </w:rPr>
            </w:pPr>
            <w:r w:rsidRPr="00C93BD8">
              <w:rPr>
                <w:rFonts w:ascii="Arial" w:hAnsi="Arial" w:cs="Arial"/>
                <w:noProof/>
              </w:rPr>
              <w:lastRenderedPageBreak/>
              <w:drawing>
                <wp:inline distT="0" distB="0" distL="0" distR="0">
                  <wp:extent cx="1076325" cy="1438275"/>
                  <wp:effectExtent l="0" t="0" r="9525" b="9525"/>
                  <wp:docPr id="48" name="Picture 1" descr="IDL000010952_201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L000010952_201401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706DB6" w:rsidRPr="0083559D" w:rsidRDefault="00706DB6" w:rsidP="00706DB6">
            <w:pPr>
              <w:pStyle w:val="NormalWeb"/>
              <w:spacing w:before="0" w:beforeAutospacing="0" w:after="0" w:afterAutospacing="0"/>
              <w:rPr>
                <w:rFonts w:ascii="Arial" w:hAnsi="Arial" w:cs="Arial"/>
                <w:color w:val="6C6361"/>
                <w:sz w:val="22"/>
                <w:szCs w:val="22"/>
              </w:rPr>
            </w:pPr>
            <w:r w:rsidRPr="0083559D">
              <w:rPr>
                <w:rFonts w:ascii="Arial" w:hAnsi="Arial" w:cs="Arial"/>
                <w:color w:val="6C6361"/>
                <w:sz w:val="22"/>
                <w:szCs w:val="22"/>
              </w:rPr>
              <w:t>Stephen Suen, formerly a Director of Enforcement of The Securities and Futures Commission (</w:t>
            </w:r>
            <w:r w:rsidRPr="0083559D">
              <w:rPr>
                <w:rFonts w:ascii="Arial" w:hAnsi="Arial" w:cs="Arial"/>
                <w:b/>
                <w:color w:val="6C6361"/>
                <w:sz w:val="22"/>
                <w:szCs w:val="22"/>
              </w:rPr>
              <w:t>SFC</w:t>
            </w:r>
            <w:r w:rsidRPr="0083559D">
              <w:rPr>
                <w:rFonts w:ascii="Arial" w:hAnsi="Arial" w:cs="Arial"/>
                <w:color w:val="6C6361"/>
                <w:sz w:val="22"/>
                <w:szCs w:val="22"/>
              </w:rPr>
              <w:t>), is now a practicing barrister-at-law specializing in the following areas of litigation and advisory work:</w:t>
            </w:r>
          </w:p>
          <w:p w:rsidR="00706DB6" w:rsidRPr="0083559D" w:rsidRDefault="00706DB6" w:rsidP="00706DB6">
            <w:pPr>
              <w:pStyle w:val="NormalWeb"/>
              <w:spacing w:before="0" w:beforeAutospacing="0" w:after="0" w:afterAutospacing="0"/>
              <w:rPr>
                <w:rFonts w:ascii="Arial" w:hAnsi="Arial" w:cs="Arial"/>
                <w:color w:val="6C6361"/>
                <w:sz w:val="16"/>
                <w:szCs w:val="16"/>
              </w:rPr>
            </w:pPr>
          </w:p>
          <w:p w:rsidR="00706DB6" w:rsidRDefault="00706DB6" w:rsidP="00706DB6">
            <w:pPr>
              <w:pStyle w:val="NormalWeb"/>
              <w:numPr>
                <w:ilvl w:val="0"/>
                <w:numId w:val="14"/>
              </w:numPr>
              <w:spacing w:before="0" w:beforeAutospacing="0" w:after="0" w:afterAutospacing="0"/>
              <w:jc w:val="both"/>
              <w:rPr>
                <w:rFonts w:ascii="Arial" w:hAnsi="Arial" w:cs="Arial"/>
                <w:color w:val="6C6361"/>
                <w:sz w:val="22"/>
                <w:szCs w:val="22"/>
              </w:rPr>
            </w:pPr>
            <w:r w:rsidRPr="0083559D">
              <w:rPr>
                <w:rFonts w:ascii="Arial" w:hAnsi="Arial" w:cs="Arial"/>
                <w:color w:val="6C6361"/>
                <w:sz w:val="22"/>
                <w:szCs w:val="22"/>
              </w:rPr>
              <w:t>Contraventions of Securities and Futures Ordinance (</w:t>
            </w:r>
            <w:r w:rsidRPr="0083559D">
              <w:rPr>
                <w:rFonts w:ascii="Arial" w:hAnsi="Arial" w:cs="Arial"/>
                <w:b/>
                <w:color w:val="6C6361"/>
                <w:sz w:val="22"/>
                <w:szCs w:val="22"/>
              </w:rPr>
              <w:t>SFO</w:t>
            </w:r>
            <w:r w:rsidRPr="0083559D">
              <w:rPr>
                <w:rFonts w:ascii="Arial" w:hAnsi="Arial" w:cs="Arial"/>
                <w:color w:val="6C6361"/>
                <w:sz w:val="22"/>
                <w:szCs w:val="22"/>
              </w:rPr>
              <w:t xml:space="preserve">), Takeovers Code, Listing Rules, Code of Conduct for Persons Licensed by or Registered with the </w:t>
            </w:r>
            <w:r w:rsidRPr="0083559D">
              <w:rPr>
                <w:rFonts w:ascii="Arial" w:hAnsi="Arial" w:cs="Arial"/>
                <w:b/>
                <w:color w:val="6C6361"/>
                <w:sz w:val="22"/>
                <w:szCs w:val="22"/>
              </w:rPr>
              <w:t>SFC</w:t>
            </w:r>
          </w:p>
          <w:p w:rsidR="00706DB6" w:rsidRDefault="00706DB6" w:rsidP="00706DB6">
            <w:pPr>
              <w:pStyle w:val="NormalWeb"/>
              <w:numPr>
                <w:ilvl w:val="0"/>
                <w:numId w:val="14"/>
              </w:numPr>
              <w:spacing w:before="0" w:beforeAutospacing="0" w:after="0" w:afterAutospacing="0"/>
              <w:jc w:val="both"/>
              <w:rPr>
                <w:rFonts w:ascii="Arial" w:hAnsi="Arial" w:cs="Arial"/>
                <w:color w:val="6C6361"/>
                <w:sz w:val="22"/>
                <w:szCs w:val="22"/>
              </w:rPr>
            </w:pPr>
            <w:r w:rsidRPr="0083559D">
              <w:rPr>
                <w:rFonts w:ascii="Arial" w:hAnsi="Arial" w:cs="Arial"/>
                <w:color w:val="6C6361"/>
                <w:sz w:val="22"/>
                <w:szCs w:val="22"/>
              </w:rPr>
              <w:t>Market misconduct e.g. market manipulation, insider dealing, disclosure of false/misleading information</w:t>
            </w:r>
          </w:p>
          <w:p w:rsidR="00706DB6" w:rsidRPr="0083559D" w:rsidRDefault="00706DB6" w:rsidP="00706DB6">
            <w:pPr>
              <w:pStyle w:val="NormalWeb"/>
              <w:numPr>
                <w:ilvl w:val="0"/>
                <w:numId w:val="14"/>
              </w:numPr>
              <w:spacing w:before="0" w:beforeAutospacing="0" w:after="0" w:afterAutospacing="0"/>
              <w:jc w:val="both"/>
              <w:rPr>
                <w:rFonts w:ascii="Arial" w:hAnsi="Arial" w:cs="Arial"/>
                <w:color w:val="6C6361"/>
                <w:sz w:val="22"/>
                <w:szCs w:val="22"/>
              </w:rPr>
            </w:pPr>
            <w:r w:rsidRPr="0083559D">
              <w:rPr>
                <w:rFonts w:ascii="Arial" w:hAnsi="Arial" w:cs="Arial"/>
                <w:color w:val="6C6361"/>
                <w:sz w:val="22"/>
                <w:szCs w:val="22"/>
              </w:rPr>
              <w:t>White collar crimes, money laundering, fraud</w:t>
            </w:r>
          </w:p>
          <w:p w:rsidR="00706DB6" w:rsidRPr="0083559D" w:rsidRDefault="00706DB6" w:rsidP="00706DB6">
            <w:pPr>
              <w:pStyle w:val="NormalWeb"/>
              <w:spacing w:before="0" w:beforeAutospacing="0" w:after="0" w:afterAutospacing="0"/>
              <w:rPr>
                <w:rFonts w:ascii="Arial" w:hAnsi="Arial" w:cs="Arial"/>
                <w:color w:val="6C6361"/>
                <w:sz w:val="16"/>
                <w:szCs w:val="16"/>
              </w:rPr>
            </w:pPr>
          </w:p>
          <w:p w:rsidR="00706DB6" w:rsidRPr="0083559D" w:rsidRDefault="00706DB6" w:rsidP="00706DB6">
            <w:pPr>
              <w:pStyle w:val="NormalWeb"/>
              <w:spacing w:before="0" w:beforeAutospacing="0" w:after="0" w:afterAutospacing="0"/>
              <w:rPr>
                <w:rFonts w:ascii="Arial" w:hAnsi="Arial" w:cs="Arial"/>
                <w:color w:val="6C6361"/>
                <w:sz w:val="22"/>
                <w:szCs w:val="22"/>
              </w:rPr>
            </w:pPr>
            <w:r w:rsidRPr="0083559D">
              <w:rPr>
                <w:rFonts w:ascii="Arial" w:hAnsi="Arial" w:cs="Arial"/>
                <w:color w:val="6C6361"/>
                <w:sz w:val="22"/>
                <w:szCs w:val="22"/>
              </w:rPr>
              <w:t>During the 30 years from 1983 to 2013, Mr. Suen has four rewarding yet exciting professional careers in both public and private sectors.  Mr. Suen started his first career as a Police Inspector with Royal Hong Kong Police Force in 1983.  During the seven years with the Police force (the last three years with Commercial Crime Bureau (</w:t>
            </w:r>
            <w:r w:rsidRPr="0083559D">
              <w:rPr>
                <w:rFonts w:ascii="Arial" w:hAnsi="Arial" w:cs="Arial"/>
                <w:b/>
                <w:color w:val="6C6361"/>
                <w:sz w:val="22"/>
                <w:szCs w:val="22"/>
              </w:rPr>
              <w:t>CCB</w:t>
            </w:r>
            <w:r w:rsidRPr="0083559D">
              <w:rPr>
                <w:rFonts w:ascii="Arial" w:hAnsi="Arial" w:cs="Arial"/>
                <w:color w:val="6C6361"/>
                <w:sz w:val="22"/>
                <w:szCs w:val="22"/>
              </w:rPr>
              <w:t>)), Mr. Suen participated in a number of high profile and complex commercial crime cases.  These cases earned him commendations from the Police and High Court Judge.</w:t>
            </w:r>
          </w:p>
          <w:p w:rsidR="00706DB6" w:rsidRPr="0083559D" w:rsidRDefault="00706DB6" w:rsidP="00706DB6">
            <w:pPr>
              <w:pStyle w:val="NormalWeb"/>
              <w:spacing w:before="0" w:beforeAutospacing="0" w:after="0" w:afterAutospacing="0"/>
              <w:rPr>
                <w:rFonts w:ascii="Arial" w:hAnsi="Arial" w:cs="Arial"/>
                <w:color w:val="6C6361"/>
                <w:sz w:val="16"/>
                <w:szCs w:val="16"/>
              </w:rPr>
            </w:pPr>
          </w:p>
          <w:p w:rsidR="00706DB6" w:rsidRPr="0083559D" w:rsidRDefault="00706DB6" w:rsidP="00706DB6">
            <w:pPr>
              <w:pStyle w:val="NormalWeb"/>
              <w:spacing w:before="0" w:beforeAutospacing="0" w:after="0" w:afterAutospacing="0"/>
              <w:rPr>
                <w:rFonts w:ascii="Arial" w:hAnsi="Arial" w:cs="Arial"/>
                <w:color w:val="6C6361"/>
                <w:sz w:val="22"/>
                <w:szCs w:val="22"/>
              </w:rPr>
            </w:pPr>
            <w:r w:rsidRPr="0083559D">
              <w:rPr>
                <w:rFonts w:ascii="Arial" w:hAnsi="Arial" w:cs="Arial"/>
                <w:color w:val="6C6361"/>
                <w:sz w:val="22"/>
                <w:szCs w:val="22"/>
              </w:rPr>
              <w:t xml:space="preserve">In 1989, Mr. Suen joined the newly set up </w:t>
            </w:r>
            <w:r w:rsidRPr="0083559D">
              <w:rPr>
                <w:rFonts w:ascii="Arial" w:hAnsi="Arial" w:cs="Arial"/>
                <w:b/>
                <w:color w:val="6C6361"/>
                <w:sz w:val="22"/>
                <w:szCs w:val="22"/>
              </w:rPr>
              <w:t>SFC</w:t>
            </w:r>
            <w:r w:rsidRPr="0083559D">
              <w:rPr>
                <w:rFonts w:ascii="Arial" w:hAnsi="Arial" w:cs="Arial"/>
                <w:color w:val="6C6361"/>
                <w:sz w:val="22"/>
                <w:szCs w:val="22"/>
              </w:rPr>
              <w:t xml:space="preserve"> to enforce securities and futures laws.  In 1999 Mr. Suen was promoted to Director of Enforcement.  He was responsible for leading and supervising teams of accountants and lawyers in the investigation and prosecution of insider dealing, market manipulation, intermediaries' misconduct, and referral of fraud and corruption cases to </w:t>
            </w:r>
            <w:r w:rsidRPr="0083559D">
              <w:rPr>
                <w:rFonts w:ascii="Arial" w:hAnsi="Arial" w:cs="Arial"/>
                <w:b/>
                <w:color w:val="6C6361"/>
                <w:sz w:val="22"/>
                <w:szCs w:val="22"/>
              </w:rPr>
              <w:t>CCB</w:t>
            </w:r>
            <w:r w:rsidRPr="0083559D">
              <w:rPr>
                <w:rFonts w:ascii="Arial" w:hAnsi="Arial" w:cs="Arial"/>
                <w:color w:val="6C6361"/>
                <w:sz w:val="22"/>
                <w:szCs w:val="22"/>
              </w:rPr>
              <w:t xml:space="preserve"> and </w:t>
            </w:r>
            <w:r w:rsidRPr="0083559D">
              <w:rPr>
                <w:rFonts w:ascii="Arial" w:hAnsi="Arial" w:cs="Arial"/>
                <w:b/>
                <w:color w:val="6C6361"/>
                <w:sz w:val="22"/>
                <w:szCs w:val="22"/>
              </w:rPr>
              <w:t>ICAC</w:t>
            </w:r>
            <w:r w:rsidRPr="0083559D">
              <w:rPr>
                <w:rFonts w:ascii="Arial" w:hAnsi="Arial" w:cs="Arial"/>
                <w:color w:val="6C6361"/>
                <w:sz w:val="22"/>
                <w:szCs w:val="22"/>
              </w:rPr>
              <w:t xml:space="preserve"> respectively.</w:t>
            </w:r>
          </w:p>
          <w:p w:rsidR="00706DB6" w:rsidRPr="0083559D" w:rsidRDefault="00706DB6" w:rsidP="00706DB6">
            <w:pPr>
              <w:pStyle w:val="NormalWeb"/>
              <w:spacing w:before="0" w:beforeAutospacing="0" w:after="0" w:afterAutospacing="0"/>
              <w:rPr>
                <w:rFonts w:ascii="Arial" w:hAnsi="Arial" w:cs="Arial"/>
                <w:color w:val="6C6361"/>
                <w:sz w:val="16"/>
                <w:szCs w:val="16"/>
              </w:rPr>
            </w:pPr>
          </w:p>
          <w:p w:rsidR="00706DB6" w:rsidRPr="0083559D" w:rsidRDefault="00706DB6" w:rsidP="00706DB6">
            <w:pPr>
              <w:pStyle w:val="NormalWeb"/>
              <w:spacing w:before="0" w:beforeAutospacing="0" w:after="0" w:afterAutospacing="0"/>
              <w:rPr>
                <w:rFonts w:ascii="Arial" w:hAnsi="Arial" w:cs="Arial"/>
                <w:color w:val="6C6361"/>
                <w:sz w:val="22"/>
                <w:szCs w:val="22"/>
              </w:rPr>
            </w:pPr>
            <w:r w:rsidRPr="0083559D">
              <w:rPr>
                <w:rFonts w:ascii="Arial" w:hAnsi="Arial" w:cs="Arial"/>
                <w:color w:val="6C6361"/>
                <w:sz w:val="22"/>
                <w:szCs w:val="22"/>
              </w:rPr>
              <w:t>In 2007 Mr. Suen joined a Hong Kong listed company as its executive director and deputy managing director.  Mr. Suen was also a Responsible Officer (</w:t>
            </w:r>
            <w:r w:rsidRPr="0083559D">
              <w:rPr>
                <w:rFonts w:ascii="Arial" w:hAnsi="Arial" w:cs="Arial"/>
                <w:b/>
                <w:color w:val="6C6361"/>
                <w:sz w:val="22"/>
                <w:szCs w:val="22"/>
              </w:rPr>
              <w:t>RO</w:t>
            </w:r>
            <w:r w:rsidRPr="0083559D">
              <w:rPr>
                <w:rFonts w:ascii="Arial" w:hAnsi="Arial" w:cs="Arial"/>
                <w:color w:val="6C6361"/>
                <w:sz w:val="22"/>
                <w:szCs w:val="22"/>
              </w:rPr>
              <w:t>) of four licensed corporations in the listed company.  He was responsible for the supervision of seven different types of regulated activities (</w:t>
            </w:r>
            <w:r w:rsidRPr="0083559D">
              <w:rPr>
                <w:rFonts w:ascii="Arial" w:hAnsi="Arial" w:cs="Arial"/>
                <w:b/>
                <w:color w:val="6C6361"/>
                <w:sz w:val="22"/>
                <w:szCs w:val="22"/>
              </w:rPr>
              <w:t>RA</w:t>
            </w:r>
            <w:r w:rsidRPr="0083559D">
              <w:rPr>
                <w:rFonts w:ascii="Arial" w:hAnsi="Arial" w:cs="Arial"/>
                <w:color w:val="6C6361"/>
                <w:sz w:val="22"/>
                <w:szCs w:val="22"/>
              </w:rPr>
              <w:t xml:space="preserve">).  These </w:t>
            </w:r>
            <w:r w:rsidRPr="0083559D">
              <w:rPr>
                <w:rFonts w:ascii="Arial" w:hAnsi="Arial" w:cs="Arial"/>
                <w:b/>
                <w:color w:val="6C6361"/>
                <w:sz w:val="22"/>
                <w:szCs w:val="22"/>
              </w:rPr>
              <w:t>RA</w:t>
            </w:r>
            <w:r w:rsidRPr="0083559D">
              <w:rPr>
                <w:rFonts w:ascii="Arial" w:hAnsi="Arial" w:cs="Arial"/>
                <w:color w:val="6C6361"/>
                <w:sz w:val="22"/>
                <w:szCs w:val="22"/>
              </w:rPr>
              <w:t xml:space="preserve"> included dealing and advising in both securities and futures contracts, margin financing, corporate finance and assets management.</w:t>
            </w:r>
          </w:p>
          <w:p w:rsidR="00706DB6" w:rsidRPr="0083559D" w:rsidRDefault="00706DB6" w:rsidP="00706DB6">
            <w:pPr>
              <w:pStyle w:val="NormalWeb"/>
              <w:spacing w:before="0" w:beforeAutospacing="0" w:after="0" w:afterAutospacing="0"/>
              <w:rPr>
                <w:rFonts w:ascii="Arial" w:hAnsi="Arial" w:cs="Arial"/>
                <w:color w:val="6C6361"/>
                <w:sz w:val="16"/>
                <w:szCs w:val="16"/>
              </w:rPr>
            </w:pPr>
          </w:p>
          <w:p w:rsidR="00706DB6" w:rsidRPr="0083559D" w:rsidRDefault="00706DB6" w:rsidP="00706DB6">
            <w:pPr>
              <w:pStyle w:val="NormalWeb"/>
              <w:spacing w:before="0" w:beforeAutospacing="0" w:after="0" w:afterAutospacing="0"/>
              <w:rPr>
                <w:rFonts w:ascii="Arial" w:hAnsi="Arial" w:cs="Arial"/>
                <w:color w:val="6C6361"/>
                <w:sz w:val="22"/>
                <w:szCs w:val="22"/>
              </w:rPr>
            </w:pPr>
            <w:r w:rsidRPr="0083559D">
              <w:rPr>
                <w:rFonts w:ascii="Arial" w:hAnsi="Arial" w:cs="Arial"/>
                <w:color w:val="6C6361"/>
                <w:sz w:val="22"/>
                <w:szCs w:val="22"/>
              </w:rPr>
              <w:t xml:space="preserve">Mr. Suen has accumulated altogether 30 years of solid and practical experience and knowledge in the enforcement of </w:t>
            </w:r>
            <w:r w:rsidRPr="0083559D">
              <w:rPr>
                <w:rFonts w:ascii="Arial" w:hAnsi="Arial" w:cs="Arial"/>
                <w:b/>
                <w:color w:val="6C6361"/>
                <w:sz w:val="22"/>
                <w:szCs w:val="22"/>
              </w:rPr>
              <w:t>SFO</w:t>
            </w:r>
            <w:r w:rsidRPr="0083559D">
              <w:rPr>
                <w:rFonts w:ascii="Arial" w:hAnsi="Arial" w:cs="Arial"/>
                <w:color w:val="6C6361"/>
                <w:sz w:val="22"/>
                <w:szCs w:val="22"/>
              </w:rPr>
              <w:t xml:space="preserve"> and commercial crime investigations.  Mr. Suen's specialties include advising on investigation and prosecution vis-a-vis insider dealing, market manipulation, intermediaries' disciplinary proceedings, Code of Conduct, Listing Rules, Takeovers Code and commercial crimes.</w:t>
            </w:r>
          </w:p>
          <w:p w:rsidR="00706DB6" w:rsidRPr="0083559D" w:rsidRDefault="00706DB6" w:rsidP="00706DB6">
            <w:pPr>
              <w:pStyle w:val="NormalWeb"/>
              <w:spacing w:before="0" w:beforeAutospacing="0" w:after="0" w:afterAutospacing="0"/>
              <w:rPr>
                <w:rFonts w:ascii="Arial" w:hAnsi="Arial" w:cs="Arial"/>
                <w:color w:val="6C6361"/>
                <w:sz w:val="16"/>
                <w:szCs w:val="16"/>
              </w:rPr>
            </w:pPr>
          </w:p>
          <w:p w:rsidR="00706DB6" w:rsidRPr="0083559D" w:rsidRDefault="00706DB6" w:rsidP="00706DB6">
            <w:pPr>
              <w:pStyle w:val="NormalWeb"/>
              <w:spacing w:before="0" w:beforeAutospacing="0" w:after="0" w:afterAutospacing="0"/>
              <w:rPr>
                <w:rFonts w:ascii="Arial" w:hAnsi="Arial" w:cs="Arial"/>
                <w:color w:val="6C6361"/>
                <w:sz w:val="22"/>
                <w:szCs w:val="22"/>
              </w:rPr>
            </w:pPr>
            <w:r w:rsidRPr="0083559D">
              <w:rPr>
                <w:rFonts w:ascii="Arial" w:hAnsi="Arial" w:cs="Arial"/>
                <w:color w:val="6C6361"/>
                <w:sz w:val="22"/>
                <w:szCs w:val="22"/>
              </w:rPr>
              <w:t>Mr. Suen's professional qualifications include Postgraduate Certificate in Laws (</w:t>
            </w:r>
            <w:r w:rsidRPr="0083559D">
              <w:rPr>
                <w:rFonts w:ascii="Arial" w:hAnsi="Arial" w:cs="Arial"/>
                <w:b/>
                <w:color w:val="6C6361"/>
                <w:sz w:val="22"/>
                <w:szCs w:val="22"/>
              </w:rPr>
              <w:t>PCLL</w:t>
            </w:r>
            <w:r w:rsidRPr="0083559D">
              <w:rPr>
                <w:rFonts w:ascii="Arial" w:hAnsi="Arial" w:cs="Arial"/>
                <w:color w:val="6C6361"/>
                <w:sz w:val="22"/>
                <w:szCs w:val="22"/>
              </w:rPr>
              <w:t xml:space="preserve">), Juris Doctor, Master in Accountancy, and Bachelor of Social Science (Economics).  Mr. Suen is a member of Hong Kong Bar Association, Hong Kong </w:t>
            </w:r>
            <w:r w:rsidRPr="0083559D">
              <w:rPr>
                <w:rFonts w:ascii="Arial" w:hAnsi="Arial" w:cs="Arial"/>
                <w:color w:val="6C6361"/>
                <w:sz w:val="22"/>
                <w:szCs w:val="22"/>
              </w:rPr>
              <w:lastRenderedPageBreak/>
              <w:t>Institute of Certificate Public Accountants and Hong Kong Securities and Investment Institute.</w:t>
            </w:r>
          </w:p>
        </w:tc>
      </w:tr>
    </w:tbl>
    <w:p w:rsidR="00706DB6" w:rsidRDefault="00706DB6" w:rsidP="00706DB6">
      <w:pPr>
        <w:spacing w:line="276" w:lineRule="auto"/>
        <w:jc w:val="left"/>
        <w:rPr>
          <w:rFonts w:ascii="Arial" w:hAnsi="Arial" w:cs="Arial"/>
          <w:sz w:val="16"/>
          <w:szCs w:val="16"/>
        </w:rPr>
      </w:pPr>
    </w:p>
    <w:p w:rsidR="00706DB6" w:rsidRPr="00706DB6" w:rsidRDefault="00706DB6" w:rsidP="00706DB6">
      <w:pPr>
        <w:spacing w:line="276" w:lineRule="auto"/>
        <w:jc w:val="left"/>
        <w:rPr>
          <w:rFonts w:ascii="Arial" w:hAnsi="Arial" w:cs="Arial"/>
          <w:sz w:val="4"/>
          <w:szCs w:val="4"/>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706DB6" w:rsidRPr="0083559D" w:rsidTr="004D3A43">
        <w:trPr>
          <w:trHeight w:val="2608"/>
          <w:jc w:val="center"/>
        </w:trPr>
        <w:tc>
          <w:tcPr>
            <w:tcW w:w="10773" w:type="dxa"/>
            <w:gridSpan w:val="2"/>
            <w:tcBorders>
              <w:top w:val="nil"/>
              <w:bottom w:val="nil"/>
            </w:tcBorders>
            <w:shd w:val="clear" w:color="auto" w:fill="FFFFFF"/>
            <w:vAlign w:val="center"/>
          </w:tcPr>
          <w:p w:rsidR="00706DB6" w:rsidRPr="0083559D" w:rsidRDefault="00706DB6" w:rsidP="004D3A43">
            <w:pPr>
              <w:rPr>
                <w:rFonts w:ascii="Arial" w:hAnsi="Arial" w:cs="Arial"/>
                <w:color w:val="6C6361"/>
              </w:rPr>
            </w:pPr>
            <w:r w:rsidRPr="0083559D">
              <w:rPr>
                <w:rFonts w:ascii="Arial" w:hAnsi="Arial" w:cs="Arial"/>
                <w:color w:val="6C6361"/>
              </w:rPr>
              <w:lastRenderedPageBreak/>
              <w:t xml:space="preserve">This </w:t>
            </w:r>
            <w:r w:rsidRPr="0083559D">
              <w:rPr>
                <w:rFonts w:ascii="Arial" w:hAnsi="Arial" w:cs="Arial"/>
                <w:b/>
                <w:color w:val="6C6361"/>
              </w:rPr>
              <w:t>CPD</w:t>
            </w:r>
            <w:r w:rsidRPr="0083559D">
              <w:rPr>
                <w:rFonts w:ascii="Arial" w:hAnsi="Arial" w:cs="Arial"/>
                <w:color w:val="6C6361"/>
              </w:rPr>
              <w:t xml:space="preserve"> seminar will focus on major </w:t>
            </w:r>
            <w:r w:rsidRPr="0083559D">
              <w:rPr>
                <w:rFonts w:ascii="Arial" w:hAnsi="Arial" w:cs="Arial"/>
                <w:b/>
                <w:color w:val="6C6361"/>
              </w:rPr>
              <w:t>SFC</w:t>
            </w:r>
            <w:r w:rsidRPr="0083559D">
              <w:rPr>
                <w:rFonts w:ascii="Arial" w:hAnsi="Arial" w:cs="Arial"/>
                <w:color w:val="6C6361"/>
              </w:rPr>
              <w:t xml:space="preserve"> cases to draw lessons on how to effectively prevent and avoid market misconduct in the present highly competitive but 'zero' tolerance enforcement environment.  Practical tips and advice will be offered to entrepreneurs, company directors, shareholders, fund managers, traders, speculators and investors (retailed or professional) and their advisers including solicitors and accountants.</w:t>
            </w:r>
          </w:p>
          <w:p w:rsidR="00706DB6" w:rsidRPr="0083559D" w:rsidRDefault="00706DB6" w:rsidP="004D3A43">
            <w:pPr>
              <w:rPr>
                <w:rFonts w:ascii="Arial" w:hAnsi="Arial" w:cs="Arial"/>
                <w:color w:val="6C6361"/>
                <w:sz w:val="16"/>
                <w:szCs w:val="16"/>
              </w:rPr>
            </w:pPr>
          </w:p>
          <w:p w:rsidR="00706DB6" w:rsidRPr="0083559D" w:rsidRDefault="00706DB6" w:rsidP="004D3A43">
            <w:pPr>
              <w:rPr>
                <w:rFonts w:ascii="Arial" w:hAnsi="Arial" w:cs="Arial"/>
                <w:color w:val="6C6361"/>
              </w:rPr>
            </w:pPr>
            <w:r w:rsidRPr="0083559D">
              <w:rPr>
                <w:rFonts w:ascii="Arial" w:hAnsi="Arial" w:cs="Arial"/>
                <w:color w:val="6C6361"/>
              </w:rPr>
              <w:t xml:space="preserve">In this seminar Mr. Suen will apply his expertise and experience gained over the past 30 years to dissect major </w:t>
            </w:r>
            <w:r w:rsidRPr="0083559D">
              <w:rPr>
                <w:rFonts w:ascii="Arial" w:hAnsi="Arial" w:cs="Arial"/>
                <w:b/>
                <w:color w:val="6C6361"/>
              </w:rPr>
              <w:t>SFC</w:t>
            </w:r>
            <w:r w:rsidRPr="0083559D">
              <w:rPr>
                <w:rFonts w:ascii="Arial" w:hAnsi="Arial" w:cs="Arial"/>
                <w:color w:val="6C6361"/>
              </w:rPr>
              <w:t xml:space="preserve"> cases with a view to providing the participants with a firm grasp of the central issues and applicable law in these cases.  More importantly, Mr. Suen will share invaluable lessons and insights from these cases with the participants so that they can relate to and apply when they face similar situations.</w:t>
            </w:r>
          </w:p>
        </w:tc>
      </w:tr>
      <w:tr w:rsidR="00706DB6" w:rsidRPr="0083559D" w:rsidTr="004D3A43">
        <w:trPr>
          <w:trHeight w:val="397"/>
          <w:jc w:val="center"/>
        </w:trPr>
        <w:tc>
          <w:tcPr>
            <w:tcW w:w="10773" w:type="dxa"/>
            <w:gridSpan w:val="2"/>
            <w:tcBorders>
              <w:top w:val="nil"/>
              <w:bottom w:val="nil"/>
            </w:tcBorders>
            <w:shd w:val="clear" w:color="auto" w:fill="F0EBE1"/>
            <w:vAlign w:val="center"/>
          </w:tcPr>
          <w:p w:rsidR="00706DB6" w:rsidRPr="0083559D" w:rsidRDefault="00706DB6" w:rsidP="004D3A43">
            <w:pPr>
              <w:rPr>
                <w:rFonts w:ascii="Arial" w:hAnsi="Arial" w:cs="Arial"/>
                <w:b/>
                <w:color w:val="524B48"/>
              </w:rPr>
            </w:pPr>
            <w:r w:rsidRPr="0083559D">
              <w:rPr>
                <w:rFonts w:ascii="Arial" w:hAnsi="Arial" w:cs="Arial"/>
                <w:b/>
                <w:color w:val="524B48"/>
              </w:rPr>
              <w:t>These cases include:</w:t>
            </w:r>
          </w:p>
        </w:tc>
      </w:tr>
      <w:tr w:rsidR="00706DB6" w:rsidRPr="0083559D" w:rsidTr="004D3A43">
        <w:trPr>
          <w:trHeight w:val="5826"/>
          <w:jc w:val="center"/>
        </w:trPr>
        <w:tc>
          <w:tcPr>
            <w:tcW w:w="9072" w:type="dxa"/>
            <w:tcBorders>
              <w:top w:val="nil"/>
              <w:bottom w:val="nil"/>
              <w:right w:val="nil"/>
            </w:tcBorders>
            <w:shd w:val="clear" w:color="auto" w:fill="FFFFFF"/>
            <w:vAlign w:val="center"/>
          </w:tcPr>
          <w:p w:rsidR="00706DB6" w:rsidRPr="0083559D" w:rsidRDefault="00706DB6" w:rsidP="004D3A43">
            <w:pPr>
              <w:pStyle w:val="ListParagraph"/>
              <w:numPr>
                <w:ilvl w:val="0"/>
                <w:numId w:val="2"/>
              </w:numPr>
              <w:rPr>
                <w:rFonts w:ascii="Arial" w:hAnsi="Arial" w:cs="Arial"/>
                <w:color w:val="6C6361"/>
              </w:rPr>
            </w:pPr>
            <w:r w:rsidRPr="0083559D">
              <w:rPr>
                <w:rFonts w:ascii="Arial" w:hAnsi="Arial" w:cs="Arial"/>
                <w:color w:val="6C6361"/>
              </w:rPr>
              <w:t>International City Holdings (</w:t>
            </w:r>
            <w:r w:rsidRPr="0083559D">
              <w:rPr>
                <w:rFonts w:ascii="Arial" w:hAnsi="Arial" w:cs="Arial"/>
                <w:b/>
                <w:color w:val="6C6361"/>
              </w:rPr>
              <w:t>ICH</w:t>
            </w:r>
            <w:r w:rsidRPr="0083559D">
              <w:rPr>
                <w:rFonts w:ascii="Arial" w:hAnsi="Arial" w:cs="Arial"/>
                <w:color w:val="6C6361"/>
              </w:rPr>
              <w:t xml:space="preserve">) - </w:t>
            </w:r>
            <w:r w:rsidRPr="0083559D">
              <w:rPr>
                <w:rFonts w:ascii="Arial" w:hAnsi="Arial" w:cs="Arial"/>
                <w:i/>
                <w:color w:val="6C6361"/>
              </w:rPr>
              <w:t>Why KS Li was culpable of insider dealing of a high degree? What lessons can be learnt from the case?</w:t>
            </w:r>
          </w:p>
          <w:p w:rsidR="00706DB6" w:rsidRPr="0083559D" w:rsidRDefault="00706DB6" w:rsidP="004D3A43">
            <w:pPr>
              <w:pStyle w:val="ListParagraph"/>
              <w:ind w:left="360"/>
              <w:rPr>
                <w:rFonts w:ascii="Arial" w:hAnsi="Arial" w:cs="Arial"/>
                <w:color w:val="6C6361"/>
                <w:sz w:val="16"/>
                <w:szCs w:val="16"/>
              </w:rPr>
            </w:pPr>
          </w:p>
          <w:p w:rsidR="00706DB6" w:rsidRPr="0083559D" w:rsidRDefault="00706DB6" w:rsidP="004D3A43">
            <w:pPr>
              <w:pStyle w:val="ListParagraph"/>
              <w:numPr>
                <w:ilvl w:val="0"/>
                <w:numId w:val="2"/>
              </w:numPr>
              <w:rPr>
                <w:rFonts w:ascii="Arial" w:hAnsi="Arial" w:cs="Arial"/>
                <w:color w:val="6C6361"/>
              </w:rPr>
            </w:pPr>
            <w:r w:rsidRPr="0083559D">
              <w:rPr>
                <w:rFonts w:ascii="Arial" w:hAnsi="Arial" w:cs="Arial"/>
                <w:b/>
                <w:color w:val="6C6361"/>
              </w:rPr>
              <w:t>Peregrine</w:t>
            </w:r>
            <w:r w:rsidRPr="0083559D">
              <w:rPr>
                <w:rFonts w:ascii="Arial" w:hAnsi="Arial" w:cs="Arial"/>
                <w:color w:val="6C6361"/>
              </w:rPr>
              <w:t xml:space="preserve"> - </w:t>
            </w:r>
            <w:r w:rsidRPr="0083559D">
              <w:rPr>
                <w:rFonts w:ascii="Arial" w:hAnsi="Arial" w:cs="Arial"/>
                <w:i/>
                <w:color w:val="6C6361"/>
              </w:rPr>
              <w:t>What went wrong? Causes of the failures and lessons for the senior management of a large financial services conglomerate.</w:t>
            </w:r>
          </w:p>
          <w:p w:rsidR="00706DB6" w:rsidRPr="0083559D" w:rsidRDefault="00706DB6" w:rsidP="004D3A43">
            <w:pPr>
              <w:pStyle w:val="ListParagraph"/>
              <w:ind w:left="360"/>
              <w:rPr>
                <w:rFonts w:ascii="Arial" w:hAnsi="Arial" w:cs="Arial"/>
                <w:color w:val="6C6361"/>
                <w:sz w:val="16"/>
                <w:szCs w:val="16"/>
              </w:rPr>
            </w:pPr>
          </w:p>
          <w:p w:rsidR="00706DB6" w:rsidRPr="0083559D" w:rsidRDefault="00706DB6" w:rsidP="004D3A43">
            <w:pPr>
              <w:pStyle w:val="ListParagraph"/>
              <w:numPr>
                <w:ilvl w:val="0"/>
                <w:numId w:val="2"/>
              </w:numPr>
              <w:rPr>
                <w:rFonts w:ascii="Arial" w:hAnsi="Arial" w:cs="Arial"/>
                <w:color w:val="6C6361"/>
              </w:rPr>
            </w:pPr>
            <w:r w:rsidRPr="0083559D">
              <w:rPr>
                <w:rFonts w:ascii="Arial" w:hAnsi="Arial" w:cs="Arial"/>
                <w:b/>
                <w:color w:val="6C6361"/>
              </w:rPr>
              <w:t>Modus operandi of market manipulators</w:t>
            </w:r>
            <w:r w:rsidRPr="0083559D">
              <w:rPr>
                <w:rFonts w:ascii="Arial" w:hAnsi="Arial" w:cs="Arial"/>
                <w:color w:val="6C6361"/>
              </w:rPr>
              <w:t xml:space="preserve"> in Hong Kong stocks and futures markets - </w:t>
            </w:r>
            <w:r w:rsidRPr="0083559D">
              <w:rPr>
                <w:rFonts w:ascii="Arial" w:hAnsi="Arial" w:cs="Arial"/>
                <w:i/>
                <w:color w:val="6C6361"/>
              </w:rPr>
              <w:t>Sino Katalytics, Fu and Lee, Tsoi Bun, Li Jialin and others</w:t>
            </w:r>
            <w:r w:rsidRPr="0083559D">
              <w:rPr>
                <w:rFonts w:ascii="Arial" w:hAnsi="Arial" w:cs="Arial"/>
                <w:color w:val="6C6361"/>
              </w:rPr>
              <w:t xml:space="preserve"> - </w:t>
            </w:r>
            <w:r w:rsidRPr="0083559D">
              <w:rPr>
                <w:rFonts w:ascii="Arial" w:hAnsi="Arial" w:cs="Arial"/>
                <w:i/>
                <w:color w:val="6C6361"/>
              </w:rPr>
              <w:t>common features and lessons from these cases</w:t>
            </w:r>
          </w:p>
          <w:p w:rsidR="00706DB6" w:rsidRPr="0083559D" w:rsidRDefault="00706DB6" w:rsidP="004D3A43">
            <w:pPr>
              <w:pStyle w:val="ListParagraph"/>
              <w:ind w:left="360"/>
              <w:rPr>
                <w:rFonts w:ascii="Arial" w:hAnsi="Arial" w:cs="Arial"/>
                <w:color w:val="6C6361"/>
                <w:sz w:val="16"/>
                <w:szCs w:val="16"/>
              </w:rPr>
            </w:pPr>
          </w:p>
          <w:p w:rsidR="00706DB6" w:rsidRPr="0083559D" w:rsidRDefault="00706DB6" w:rsidP="004D3A43">
            <w:pPr>
              <w:pStyle w:val="ListParagraph"/>
              <w:numPr>
                <w:ilvl w:val="0"/>
                <w:numId w:val="2"/>
              </w:numPr>
              <w:rPr>
                <w:rFonts w:ascii="Arial" w:hAnsi="Arial" w:cs="Arial"/>
                <w:color w:val="6C6361"/>
              </w:rPr>
            </w:pPr>
            <w:r w:rsidRPr="0083559D">
              <w:rPr>
                <w:rFonts w:ascii="Arial" w:hAnsi="Arial" w:cs="Arial"/>
                <w:b/>
                <w:color w:val="6C6361"/>
              </w:rPr>
              <w:t>Modus operandi of Insider dealing</w:t>
            </w:r>
            <w:r w:rsidRPr="0083559D">
              <w:rPr>
                <w:rFonts w:ascii="Arial" w:hAnsi="Arial" w:cs="Arial"/>
                <w:color w:val="6C6361"/>
              </w:rPr>
              <w:t xml:space="preserve"> in Hong Kong stocks market - </w:t>
            </w:r>
            <w:r w:rsidRPr="0083559D">
              <w:rPr>
                <w:rFonts w:ascii="Arial" w:hAnsi="Arial" w:cs="Arial"/>
                <w:i/>
                <w:color w:val="6C6361"/>
              </w:rPr>
              <w:t>Tiger Asia, Du Jun, Simon Chui and others</w:t>
            </w:r>
            <w:r w:rsidRPr="0083559D">
              <w:rPr>
                <w:rFonts w:ascii="Arial" w:hAnsi="Arial" w:cs="Arial"/>
                <w:color w:val="6C6361"/>
              </w:rPr>
              <w:t xml:space="preserve"> - </w:t>
            </w:r>
            <w:r w:rsidRPr="0083559D">
              <w:rPr>
                <w:rFonts w:ascii="Arial" w:hAnsi="Arial" w:cs="Arial"/>
                <w:i/>
                <w:color w:val="6C6361"/>
              </w:rPr>
              <w:t>common features and lessons from these cases</w:t>
            </w:r>
          </w:p>
          <w:p w:rsidR="00706DB6" w:rsidRPr="0083559D" w:rsidRDefault="00706DB6" w:rsidP="004D3A43">
            <w:pPr>
              <w:pStyle w:val="ListParagraph"/>
              <w:ind w:left="360"/>
              <w:rPr>
                <w:rFonts w:ascii="Arial" w:hAnsi="Arial" w:cs="Arial"/>
                <w:color w:val="6C6361"/>
                <w:sz w:val="16"/>
                <w:szCs w:val="16"/>
              </w:rPr>
            </w:pPr>
          </w:p>
          <w:p w:rsidR="00706DB6" w:rsidRPr="0083559D" w:rsidRDefault="00706DB6" w:rsidP="004D3A43">
            <w:pPr>
              <w:pStyle w:val="ListParagraph"/>
              <w:numPr>
                <w:ilvl w:val="0"/>
                <w:numId w:val="2"/>
              </w:numPr>
              <w:rPr>
                <w:rFonts w:ascii="Arial" w:hAnsi="Arial" w:cs="Arial"/>
                <w:color w:val="6C6361"/>
              </w:rPr>
            </w:pPr>
            <w:r w:rsidRPr="0083559D">
              <w:rPr>
                <w:rFonts w:ascii="Arial" w:hAnsi="Arial" w:cs="Arial"/>
                <w:b/>
                <w:color w:val="6C6361"/>
              </w:rPr>
              <w:t>Major Sponsors failures</w:t>
            </w:r>
            <w:r w:rsidRPr="0083559D">
              <w:rPr>
                <w:rFonts w:ascii="Arial" w:hAnsi="Arial" w:cs="Arial"/>
                <w:color w:val="6C6361"/>
              </w:rPr>
              <w:t xml:space="preserve"> - </w:t>
            </w:r>
            <w:r w:rsidRPr="0083559D">
              <w:rPr>
                <w:rFonts w:ascii="Arial" w:hAnsi="Arial" w:cs="Arial"/>
                <w:i/>
                <w:color w:val="6C6361"/>
              </w:rPr>
              <w:t>SHKI, Mega Capital, ICEA Capital, Deloitte and others</w:t>
            </w:r>
            <w:r w:rsidRPr="0083559D">
              <w:rPr>
                <w:rFonts w:ascii="Arial" w:hAnsi="Arial" w:cs="Arial"/>
                <w:color w:val="6C6361"/>
              </w:rPr>
              <w:t xml:space="preserve"> - </w:t>
            </w:r>
            <w:r w:rsidRPr="0083559D">
              <w:rPr>
                <w:rFonts w:ascii="Arial" w:hAnsi="Arial" w:cs="Arial"/>
                <w:i/>
                <w:color w:val="6C6361"/>
              </w:rPr>
              <w:t>common features of these cases, causes of failures and lessons from these cases</w:t>
            </w:r>
          </w:p>
          <w:p w:rsidR="00706DB6" w:rsidRPr="0083559D" w:rsidRDefault="00706DB6" w:rsidP="004D3A43">
            <w:pPr>
              <w:pStyle w:val="ListParagraph"/>
              <w:ind w:left="360"/>
              <w:rPr>
                <w:rFonts w:ascii="Arial" w:hAnsi="Arial" w:cs="Arial"/>
                <w:color w:val="6C6361"/>
                <w:sz w:val="16"/>
                <w:szCs w:val="16"/>
              </w:rPr>
            </w:pPr>
          </w:p>
          <w:p w:rsidR="00706DB6" w:rsidRDefault="00706DB6" w:rsidP="004D3A43">
            <w:pPr>
              <w:pStyle w:val="ListParagraph"/>
              <w:numPr>
                <w:ilvl w:val="0"/>
                <w:numId w:val="2"/>
              </w:numPr>
              <w:rPr>
                <w:rFonts w:ascii="Arial" w:hAnsi="Arial" w:cs="Arial"/>
                <w:color w:val="6C6361"/>
              </w:rPr>
            </w:pPr>
            <w:r w:rsidRPr="0083559D">
              <w:rPr>
                <w:rFonts w:ascii="Arial" w:hAnsi="Arial" w:cs="Arial"/>
                <w:b/>
                <w:color w:val="6C6361"/>
              </w:rPr>
              <w:t>Provision of false or misleading information</w:t>
            </w:r>
            <w:r w:rsidRPr="0083559D">
              <w:rPr>
                <w:rFonts w:ascii="Arial" w:hAnsi="Arial" w:cs="Arial"/>
                <w:color w:val="6C6361"/>
              </w:rPr>
              <w:t xml:space="preserve"> - </w:t>
            </w:r>
            <w:r w:rsidRPr="0083559D">
              <w:rPr>
                <w:rFonts w:ascii="Arial" w:hAnsi="Arial" w:cs="Arial"/>
                <w:i/>
                <w:color w:val="6C6361"/>
              </w:rPr>
              <w:t>Asser Li, David Vong and others</w:t>
            </w:r>
            <w:r w:rsidRPr="0083559D">
              <w:rPr>
                <w:rFonts w:ascii="Arial" w:hAnsi="Arial" w:cs="Arial"/>
                <w:color w:val="6C6361"/>
              </w:rPr>
              <w:t xml:space="preserve"> - </w:t>
            </w:r>
            <w:r w:rsidRPr="0083559D">
              <w:rPr>
                <w:rFonts w:ascii="Arial" w:hAnsi="Arial" w:cs="Arial"/>
                <w:i/>
                <w:color w:val="6C6361"/>
              </w:rPr>
              <w:t>common features of these cases</w:t>
            </w:r>
            <w:r w:rsidRPr="0083559D">
              <w:rPr>
                <w:rFonts w:ascii="Arial" w:hAnsi="Arial" w:cs="Arial"/>
                <w:color w:val="6C6361"/>
              </w:rPr>
              <w:t xml:space="preserve"> - </w:t>
            </w:r>
            <w:r w:rsidRPr="0083559D">
              <w:rPr>
                <w:rFonts w:ascii="Arial" w:hAnsi="Arial" w:cs="Arial"/>
                <w:i/>
                <w:color w:val="6C6361"/>
              </w:rPr>
              <w:t>how one might easily fall into the legal labyrinth (knowingly or recklessly) and lessons from these cases</w:t>
            </w:r>
          </w:p>
          <w:p w:rsidR="00706DB6" w:rsidRPr="0083559D" w:rsidRDefault="00706DB6" w:rsidP="004D3A43">
            <w:pPr>
              <w:pStyle w:val="ListParagraph"/>
              <w:ind w:left="360"/>
              <w:rPr>
                <w:rFonts w:ascii="Arial" w:hAnsi="Arial" w:cs="Arial"/>
                <w:color w:val="6C6361"/>
                <w:sz w:val="16"/>
                <w:szCs w:val="16"/>
              </w:rPr>
            </w:pPr>
          </w:p>
          <w:p w:rsidR="00706DB6" w:rsidRPr="0083559D" w:rsidRDefault="00706DB6" w:rsidP="004D3A43">
            <w:pPr>
              <w:pStyle w:val="ListParagraph"/>
              <w:ind w:left="35"/>
              <w:rPr>
                <w:rFonts w:ascii="Arial" w:hAnsi="Arial" w:cs="Arial"/>
                <w:color w:val="6C6361"/>
              </w:rPr>
            </w:pPr>
            <w:r w:rsidRPr="0083559D">
              <w:rPr>
                <w:rFonts w:ascii="Arial" w:hAnsi="Arial" w:cs="Arial"/>
                <w:color w:val="6C6361"/>
              </w:rPr>
              <w:t xml:space="preserve">The contents of the seminar and views expressed by Mr. Suen are solely his own and personal views.  All the information and figures shown in the seminar are publicly available and can be accessed via the websites of The Judiciary, </w:t>
            </w:r>
            <w:r w:rsidRPr="0083559D">
              <w:rPr>
                <w:rFonts w:ascii="Arial" w:hAnsi="Arial" w:cs="Arial"/>
                <w:b/>
                <w:color w:val="6C6361"/>
              </w:rPr>
              <w:t>IDT</w:t>
            </w:r>
            <w:r w:rsidRPr="0083559D">
              <w:rPr>
                <w:rFonts w:ascii="Arial" w:hAnsi="Arial" w:cs="Arial"/>
                <w:color w:val="6C6361"/>
              </w:rPr>
              <w:t xml:space="preserve">, </w:t>
            </w:r>
            <w:r w:rsidRPr="0083559D">
              <w:rPr>
                <w:rFonts w:ascii="Arial" w:hAnsi="Arial" w:cs="Arial"/>
                <w:b/>
                <w:color w:val="6C6361"/>
              </w:rPr>
              <w:t>MMT</w:t>
            </w:r>
            <w:r w:rsidRPr="0083559D">
              <w:rPr>
                <w:rFonts w:ascii="Arial" w:hAnsi="Arial" w:cs="Arial"/>
                <w:color w:val="6C6361"/>
              </w:rPr>
              <w:t xml:space="preserve">, </w:t>
            </w:r>
            <w:r w:rsidRPr="0083559D">
              <w:rPr>
                <w:rFonts w:ascii="Arial" w:hAnsi="Arial" w:cs="Arial"/>
                <w:b/>
                <w:color w:val="6C6361"/>
              </w:rPr>
              <w:t>SFC</w:t>
            </w:r>
            <w:r w:rsidRPr="0083559D">
              <w:rPr>
                <w:rFonts w:ascii="Arial" w:hAnsi="Arial" w:cs="Arial"/>
                <w:color w:val="6C6361"/>
              </w:rPr>
              <w:t xml:space="preserve">, Police and </w:t>
            </w:r>
            <w:r w:rsidRPr="0083559D">
              <w:rPr>
                <w:rFonts w:ascii="Arial" w:hAnsi="Arial" w:cs="Arial"/>
                <w:b/>
                <w:color w:val="6C6361"/>
              </w:rPr>
              <w:t>ICAC</w:t>
            </w:r>
            <w:r w:rsidRPr="0083559D">
              <w:rPr>
                <w:rFonts w:ascii="Arial" w:hAnsi="Arial" w:cs="Arial"/>
                <w:color w:val="6C6361"/>
              </w:rPr>
              <w:t>.</w:t>
            </w:r>
          </w:p>
        </w:tc>
        <w:tc>
          <w:tcPr>
            <w:tcW w:w="1701" w:type="dxa"/>
            <w:tcBorders>
              <w:top w:val="nil"/>
              <w:left w:val="nil"/>
              <w:bottom w:val="nil"/>
            </w:tcBorders>
            <w:shd w:val="clear" w:color="auto" w:fill="FFFFFF"/>
            <w:vAlign w:val="center"/>
          </w:tcPr>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Default="00706DB6" w:rsidP="004D3A43">
            <w:pPr>
              <w:jc w:val="center"/>
              <w:rPr>
                <w:rFonts w:ascii="Arial" w:hAnsi="Arial" w:cs="Arial"/>
                <w:color w:val="6C6361"/>
              </w:rPr>
            </w:pPr>
          </w:p>
          <w:p w:rsidR="00706DB6" w:rsidRPr="00B71D83" w:rsidRDefault="00706DB6" w:rsidP="004D3A43">
            <w:pPr>
              <w:jc w:val="center"/>
              <w:rPr>
                <w:rFonts w:ascii="Arial" w:hAnsi="Arial" w:cs="Arial"/>
                <w:color w:val="6C6361"/>
                <w:sz w:val="16"/>
                <w:szCs w:val="16"/>
              </w:rPr>
            </w:pPr>
          </w:p>
          <w:p w:rsidR="00706DB6" w:rsidRPr="0083559D" w:rsidRDefault="00706DB6" w:rsidP="004D3A43">
            <w:pPr>
              <w:jc w:val="center"/>
              <w:rPr>
                <w:rFonts w:ascii="Arial" w:hAnsi="Arial" w:cs="Arial"/>
                <w:color w:val="6C6361"/>
                <w:sz w:val="16"/>
                <w:szCs w:val="16"/>
              </w:rPr>
            </w:pPr>
          </w:p>
          <w:p w:rsidR="00706DB6" w:rsidRPr="0083559D" w:rsidRDefault="003F386B" w:rsidP="004D3A43">
            <w:pPr>
              <w:jc w:val="center"/>
              <w:rPr>
                <w:rFonts w:ascii="Arial" w:hAnsi="Arial" w:cs="Arial"/>
                <w:color w:val="6C6361"/>
              </w:rPr>
            </w:pPr>
            <w:r w:rsidRPr="00C93BD8">
              <w:rPr>
                <w:rFonts w:ascii="Arial" w:hAnsi="Arial" w:cs="Arial"/>
                <w:noProof/>
                <w:color w:val="6C6361"/>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706DB6" w:rsidRPr="00BA43E2" w:rsidRDefault="00706DB6" w:rsidP="00706DB6">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78"/>
        <w:gridCol w:w="3802"/>
        <w:gridCol w:w="1806"/>
        <w:gridCol w:w="2512"/>
        <w:gridCol w:w="1274"/>
      </w:tblGrid>
      <w:tr w:rsidR="00706DB6" w:rsidRPr="0083559D" w:rsidTr="004D3A43">
        <w:trPr>
          <w:trHeight w:val="397"/>
          <w:jc w:val="center"/>
        </w:trPr>
        <w:tc>
          <w:tcPr>
            <w:tcW w:w="1378" w:type="dxa"/>
            <w:tcBorders>
              <w:top w:val="nil"/>
              <w:left w:val="nil"/>
              <w:bottom w:val="single" w:sz="12" w:space="0" w:color="FFFFFF"/>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t>Code:</w:t>
            </w:r>
          </w:p>
        </w:tc>
        <w:tc>
          <w:tcPr>
            <w:tcW w:w="3802" w:type="dxa"/>
            <w:tcBorders>
              <w:top w:val="nil"/>
              <w:bottom w:val="single" w:sz="12" w:space="0" w:color="F0EBE1"/>
            </w:tcBorders>
            <w:shd w:val="clear" w:color="auto" w:fill="FFFFFF"/>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83559D">
              <w:rPr>
                <w:rFonts w:ascii="Arial" w:hAnsi="Arial" w:cs="Arial"/>
                <w:b/>
                <w:bCs/>
                <w:color w:val="6C6361"/>
              </w:rPr>
              <w:t>EVT000000025</w:t>
            </w:r>
          </w:p>
        </w:tc>
        <w:tc>
          <w:tcPr>
            <w:tcW w:w="1806" w:type="dxa"/>
            <w:tcBorders>
              <w:top w:val="nil"/>
              <w:bottom w:val="single" w:sz="12" w:space="0" w:color="FFFFFF"/>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t>Level:</w:t>
            </w:r>
          </w:p>
        </w:tc>
        <w:tc>
          <w:tcPr>
            <w:tcW w:w="3786" w:type="dxa"/>
            <w:gridSpan w:val="2"/>
            <w:tcBorders>
              <w:top w:val="nil"/>
              <w:bottom w:val="single" w:sz="12" w:space="0" w:color="F0EBE1"/>
              <w:right w:val="nil"/>
            </w:tcBorders>
            <w:shd w:val="clear" w:color="auto" w:fill="FFFFFF"/>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83559D">
              <w:rPr>
                <w:rFonts w:ascii="Arial" w:eastAsia="Times New Roman" w:hAnsi="Arial" w:cs="Arial"/>
                <w:b/>
                <w:noProof/>
                <w:color w:val="6C6361"/>
              </w:rPr>
              <w:t>Intermediate</w:t>
            </w:r>
          </w:p>
        </w:tc>
      </w:tr>
      <w:tr w:rsidR="00706DB6" w:rsidRPr="0083559D" w:rsidTr="004D3A43">
        <w:trPr>
          <w:trHeight w:val="397"/>
          <w:jc w:val="center"/>
        </w:trPr>
        <w:tc>
          <w:tcPr>
            <w:tcW w:w="1378" w:type="dxa"/>
            <w:tcBorders>
              <w:top w:val="single" w:sz="12" w:space="0" w:color="FFFFFF"/>
              <w:left w:val="nil"/>
              <w:bottom w:val="single" w:sz="12" w:space="0" w:color="FFFFFF"/>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t>Date:</w:t>
            </w:r>
          </w:p>
        </w:tc>
        <w:tc>
          <w:tcPr>
            <w:tcW w:w="3802" w:type="dxa"/>
            <w:tcBorders>
              <w:top w:val="single" w:sz="12" w:space="0" w:color="F0EBE1"/>
              <w:bottom w:val="single" w:sz="12" w:space="0" w:color="F0EBE1"/>
            </w:tcBorders>
            <w:shd w:val="clear" w:color="auto" w:fill="FFFFFF"/>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83559D">
              <w:rPr>
                <w:rFonts w:ascii="Arial" w:hAnsi="Arial" w:cs="Arial"/>
                <w:b/>
                <w:color w:val="6C6361"/>
              </w:rPr>
              <w:t>20 September 2014 (Saturday)</w:t>
            </w:r>
          </w:p>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83559D">
              <w:rPr>
                <w:rFonts w:ascii="Arial" w:hAnsi="Arial" w:cs="Arial"/>
                <w:b/>
                <w:color w:val="6C6361"/>
              </w:rPr>
              <w:t>(Amended)</w:t>
            </w:r>
          </w:p>
        </w:tc>
        <w:tc>
          <w:tcPr>
            <w:tcW w:w="1806" w:type="dxa"/>
            <w:tcBorders>
              <w:top w:val="single" w:sz="12" w:space="0" w:color="FFFFFF"/>
              <w:bottom w:val="single" w:sz="12" w:space="0" w:color="FFFFFF"/>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t>Language:</w:t>
            </w:r>
          </w:p>
        </w:tc>
        <w:tc>
          <w:tcPr>
            <w:tcW w:w="3786" w:type="dxa"/>
            <w:gridSpan w:val="2"/>
            <w:tcBorders>
              <w:top w:val="single" w:sz="12" w:space="0" w:color="F0EBE1"/>
              <w:bottom w:val="single" w:sz="12" w:space="0" w:color="F0EBE1"/>
              <w:right w:val="nil"/>
            </w:tcBorders>
            <w:shd w:val="clear" w:color="auto" w:fill="FFFFFF"/>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83559D">
              <w:rPr>
                <w:rFonts w:ascii="Arial" w:eastAsia="Times New Roman" w:hAnsi="Arial" w:cs="Arial"/>
                <w:b/>
                <w:noProof/>
                <w:color w:val="6C6361"/>
              </w:rPr>
              <w:t>English</w:t>
            </w:r>
          </w:p>
        </w:tc>
      </w:tr>
      <w:tr w:rsidR="00706DB6" w:rsidRPr="0083559D" w:rsidTr="004D3A43">
        <w:trPr>
          <w:trHeight w:val="397"/>
          <w:jc w:val="center"/>
        </w:trPr>
        <w:tc>
          <w:tcPr>
            <w:tcW w:w="1378" w:type="dxa"/>
            <w:tcBorders>
              <w:top w:val="single" w:sz="12" w:space="0" w:color="FFFFFF"/>
              <w:left w:val="nil"/>
              <w:bottom w:val="single" w:sz="12" w:space="0" w:color="FFFFFF"/>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t>Time:</w:t>
            </w:r>
          </w:p>
        </w:tc>
        <w:tc>
          <w:tcPr>
            <w:tcW w:w="3802" w:type="dxa"/>
            <w:tcBorders>
              <w:top w:val="single" w:sz="12" w:space="0" w:color="F0EBE1"/>
              <w:bottom w:val="single" w:sz="12" w:space="0" w:color="F0EBE1"/>
            </w:tcBorders>
            <w:shd w:val="clear" w:color="auto" w:fill="FFFFFF"/>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83559D">
              <w:rPr>
                <w:rFonts w:ascii="Arial" w:hAnsi="Arial" w:cs="Arial"/>
                <w:b/>
                <w:color w:val="6C6361"/>
              </w:rPr>
              <w:t>14:30 - 17:45</w:t>
            </w:r>
          </w:p>
        </w:tc>
        <w:tc>
          <w:tcPr>
            <w:tcW w:w="1806" w:type="dxa"/>
            <w:tcBorders>
              <w:top w:val="single" w:sz="12" w:space="0" w:color="FFFFFF"/>
              <w:bottom w:val="single" w:sz="12" w:space="0" w:color="FFFFFF"/>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t>Accreditation(s):</w:t>
            </w:r>
          </w:p>
        </w:tc>
        <w:tc>
          <w:tcPr>
            <w:tcW w:w="3786" w:type="dxa"/>
            <w:gridSpan w:val="2"/>
            <w:tcBorders>
              <w:top w:val="single" w:sz="12" w:space="0" w:color="F0EBE1"/>
              <w:bottom w:val="single" w:sz="12" w:space="0" w:color="F0EBE1"/>
              <w:right w:val="nil"/>
            </w:tcBorders>
            <w:shd w:val="clear" w:color="auto" w:fill="FFFFFF"/>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83559D">
              <w:rPr>
                <w:rFonts w:ascii="Arial" w:hAnsi="Arial" w:cs="Arial"/>
                <w:b/>
                <w:color w:val="6C6361"/>
              </w:rPr>
              <w:t>LSHK 3.0 CPD Points</w:t>
            </w:r>
          </w:p>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83559D">
              <w:rPr>
                <w:rFonts w:ascii="Arial" w:hAnsi="Arial" w:cs="Arial"/>
                <w:b/>
                <w:color w:val="6C6361"/>
              </w:rPr>
              <w:lastRenderedPageBreak/>
              <w:t>SFC 3.0 CPT Hours</w:t>
            </w:r>
          </w:p>
        </w:tc>
      </w:tr>
      <w:tr w:rsidR="00706DB6" w:rsidRPr="0083559D" w:rsidTr="004D3A43">
        <w:trPr>
          <w:trHeight w:val="397"/>
          <w:jc w:val="center"/>
        </w:trPr>
        <w:tc>
          <w:tcPr>
            <w:tcW w:w="1378" w:type="dxa"/>
            <w:tcBorders>
              <w:top w:val="single" w:sz="12" w:space="0" w:color="FFFFFF"/>
              <w:left w:val="nil"/>
              <w:bottom w:val="nil"/>
            </w:tcBorders>
            <w:shd w:val="clear" w:color="auto" w:fill="F0EBE1"/>
            <w:vAlign w:val="center"/>
          </w:tcPr>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3559D">
              <w:rPr>
                <w:rFonts w:ascii="Arial" w:eastAsia="Times New Roman" w:hAnsi="Arial" w:cs="Arial"/>
                <w:noProof/>
                <w:color w:val="524B48"/>
              </w:rPr>
              <w:lastRenderedPageBreak/>
              <w:t>Venue:</w:t>
            </w:r>
          </w:p>
        </w:tc>
        <w:tc>
          <w:tcPr>
            <w:tcW w:w="3802" w:type="dxa"/>
            <w:tcBorders>
              <w:top w:val="single" w:sz="12" w:space="0" w:color="F0EBE1"/>
              <w:bottom w:val="nil"/>
            </w:tcBorders>
            <w:shd w:val="clear" w:color="auto" w:fill="FFFFFF"/>
            <w:vAlign w:val="center"/>
          </w:tcPr>
          <w:p w:rsidR="00706DB6" w:rsidRDefault="00706DB6" w:rsidP="004D3A43">
            <w:pPr>
              <w:spacing w:line="276" w:lineRule="auto"/>
              <w:jc w:val="left"/>
              <w:rPr>
                <w:rFonts w:ascii="Arial" w:hAnsi="Arial" w:cs="Arial"/>
                <w:b/>
                <w:color w:val="6C6361"/>
              </w:rPr>
            </w:pPr>
            <w:r w:rsidRPr="0083559D">
              <w:rPr>
                <w:rFonts w:ascii="Arial" w:hAnsi="Arial" w:cs="Arial"/>
                <w:b/>
                <w:color w:val="6C6361"/>
              </w:rPr>
              <w:t>9th Floor,</w:t>
            </w:r>
          </w:p>
          <w:p w:rsidR="00706DB6" w:rsidRPr="0083559D" w:rsidRDefault="00706DB6" w:rsidP="004D3A43">
            <w:pPr>
              <w:spacing w:line="276" w:lineRule="auto"/>
              <w:jc w:val="left"/>
              <w:rPr>
                <w:rFonts w:ascii="Arial" w:hAnsi="Arial" w:cs="Arial"/>
                <w:b/>
                <w:color w:val="6C6361"/>
              </w:rPr>
            </w:pPr>
            <w:r w:rsidRPr="0083559D">
              <w:rPr>
                <w:rFonts w:ascii="Arial" w:hAnsi="Arial" w:cs="Arial"/>
                <w:b/>
                <w:color w:val="6C6361"/>
              </w:rPr>
              <w:t>The Chinese Club Building</w:t>
            </w:r>
          </w:p>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83559D">
              <w:rPr>
                <w:rFonts w:ascii="Arial" w:hAnsi="Arial" w:cs="Arial"/>
                <w:b/>
                <w:color w:val="6C6361"/>
              </w:rPr>
              <w:t xml:space="preserve">21-22 Connaught Road Central </w:t>
            </w:r>
          </w:p>
          <w:p w:rsidR="00706DB6" w:rsidRPr="0083559D"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83559D">
              <w:rPr>
                <w:rFonts w:ascii="Arial" w:hAnsi="Arial" w:cs="Arial"/>
                <w:b/>
                <w:color w:val="6C6361"/>
              </w:rPr>
              <w:t>Central, Hong Kong</w:t>
            </w:r>
          </w:p>
        </w:tc>
        <w:tc>
          <w:tcPr>
            <w:tcW w:w="1806" w:type="dxa"/>
            <w:tcBorders>
              <w:top w:val="single" w:sz="12" w:space="0" w:color="FFFFFF"/>
              <w:bottom w:val="nil"/>
            </w:tcBorders>
            <w:shd w:val="clear" w:color="auto" w:fill="F0EBE1"/>
            <w:vAlign w:val="center"/>
          </w:tcPr>
          <w:p w:rsidR="00706DB6" w:rsidRPr="00156567"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56567">
              <w:rPr>
                <w:rFonts w:ascii="Arial" w:eastAsia="Times New Roman" w:hAnsi="Arial" w:cs="Arial"/>
                <w:noProof/>
                <w:color w:val="524B48"/>
              </w:rPr>
              <w:t>Request for</w:t>
            </w:r>
          </w:p>
          <w:p w:rsidR="00706DB6" w:rsidRPr="00156567"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56567">
              <w:rPr>
                <w:rFonts w:ascii="Arial" w:eastAsia="Times New Roman" w:hAnsi="Arial" w:cs="Arial"/>
                <w:noProof/>
                <w:color w:val="524B48"/>
              </w:rPr>
              <w:t>Rerun:</w:t>
            </w:r>
          </w:p>
        </w:tc>
        <w:tc>
          <w:tcPr>
            <w:tcW w:w="2512" w:type="dxa"/>
            <w:tcBorders>
              <w:top w:val="single" w:sz="12" w:space="0" w:color="F0EBE1"/>
              <w:bottom w:val="nil"/>
              <w:right w:val="nil"/>
            </w:tcBorders>
            <w:shd w:val="clear" w:color="auto" w:fill="FFFFFF"/>
            <w:vAlign w:val="center"/>
          </w:tcPr>
          <w:p w:rsidR="00706DB6" w:rsidRPr="00156567"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 w:rsidRPr="00156567">
              <w:rPr>
                <w:rFonts w:ascii="Arial" w:eastAsia="Times New Roman" w:hAnsi="Arial" w:cs="Arial"/>
                <w:b/>
                <w:noProof/>
                <w:color w:val="6C6361"/>
              </w:rPr>
              <w:t xml:space="preserve">Please </w:t>
            </w:r>
            <w:hyperlink r:id="rId11" w:history="1">
              <w:r w:rsidRPr="00156567">
                <w:rPr>
                  <w:rStyle w:val="Hyperlink"/>
                  <w:rFonts w:ascii="Arial" w:eastAsia="Times New Roman" w:hAnsi="Arial" w:cs="Arial"/>
                  <w:b/>
                  <w:noProof/>
                  <w:color w:val="6C6361"/>
                  <w:u w:val="none"/>
                </w:rPr>
                <w:t>Contact Us</w:t>
              </w:r>
            </w:hyperlink>
          </w:p>
          <w:p w:rsidR="00706DB6" w:rsidRPr="00156567" w:rsidRDefault="00706DB6"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56567">
              <w:rPr>
                <w:rFonts w:ascii="Arial" w:eastAsia="Times New Roman" w:hAnsi="Arial" w:cs="Arial"/>
                <w:b/>
                <w:noProof/>
                <w:color w:val="6C6361"/>
              </w:rPr>
              <w:t>for Details</w:t>
            </w:r>
          </w:p>
        </w:tc>
        <w:tc>
          <w:tcPr>
            <w:tcW w:w="1274" w:type="dxa"/>
            <w:tcBorders>
              <w:top w:val="single" w:sz="12" w:space="0" w:color="F0EBE1"/>
              <w:left w:val="nil"/>
              <w:bottom w:val="nil"/>
              <w:right w:val="nil"/>
            </w:tcBorders>
            <w:shd w:val="clear" w:color="auto" w:fill="FFFFFF"/>
            <w:vAlign w:val="center"/>
          </w:tcPr>
          <w:p w:rsidR="00706DB6" w:rsidRPr="00156567" w:rsidRDefault="003F386B" w:rsidP="004D3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sidRPr="00156567">
              <w:rPr>
                <w:rFonts w:ascii="Arial" w:eastAsia="Times New Roman" w:hAnsi="Arial" w:cs="Arial"/>
                <w:b/>
                <w:noProof/>
                <w:color w:val="6C6361"/>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706DB6" w:rsidRPr="00F04412" w:rsidRDefault="00706DB6" w:rsidP="00706DB6">
      <w:pPr>
        <w:rPr>
          <w:rFonts w:ascii="Arial" w:hAnsi="Arial" w:cs="Arial"/>
          <w:color w:val="524B48"/>
          <w:sz w:val="4"/>
          <w:szCs w:val="4"/>
        </w:rPr>
      </w:pPr>
    </w:p>
    <w:p w:rsidR="00214BC6" w:rsidRPr="00706DB6" w:rsidRDefault="00214BC6" w:rsidP="00706DB6"/>
    <w:sectPr w:rsidR="00214BC6" w:rsidRPr="00706DB6"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811" w:rsidRDefault="00B37811" w:rsidP="00546556">
      <w:r>
        <w:separator/>
      </w:r>
    </w:p>
  </w:endnote>
  <w:endnote w:type="continuationSeparator" w:id="0">
    <w:p w:rsidR="00B37811" w:rsidRDefault="00B3781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3F386B" w:rsidP="000F34E0">
    <w:pPr>
      <w:jc w:val="center"/>
      <w:rPr>
        <w:sz w:val="19"/>
        <w:szCs w:val="19"/>
      </w:rPr>
    </w:pPr>
    <w:r w:rsidRPr="00A05F57">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05B562A"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811" w:rsidRDefault="00B37811" w:rsidP="00546556">
      <w:r>
        <w:separator/>
      </w:r>
    </w:p>
  </w:footnote>
  <w:footnote w:type="continuationSeparator" w:id="0">
    <w:p w:rsidR="00B37811" w:rsidRDefault="00B3781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3F386B">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357EF"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0"/>
  </w:num>
  <w:num w:numId="4">
    <w:abstractNumId w:val="1"/>
  </w:num>
  <w:num w:numId="5">
    <w:abstractNumId w:val="3"/>
  </w:num>
  <w:num w:numId="6">
    <w:abstractNumId w:val="11"/>
  </w:num>
  <w:num w:numId="7">
    <w:abstractNumId w:val="2"/>
  </w:num>
  <w:num w:numId="8">
    <w:abstractNumId w:val="12"/>
  </w:num>
  <w:num w:numId="9">
    <w:abstractNumId w:val="13"/>
  </w:num>
  <w:num w:numId="10">
    <w:abstractNumId w:val="8"/>
  </w:num>
  <w:num w:numId="11">
    <w:abstractNumId w:val="0"/>
  </w:num>
  <w:num w:numId="12">
    <w:abstractNumId w:val="6"/>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2F0NWpXrcC8w8ajosLWMqDOoW9h4uWPLyYc/KRk+tW8Qk+PViZ1oFytZMeQ7C7k1hn403sgb7CLBPhOJ0Lzazg==" w:salt="3oEy7xW7KvIg3HF1cPqa4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6B"/>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37811"/>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C3EB6396-D9BA-4D71-871D-5C62DA5D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FE759-E3DD-42DF-B7EE-041E9931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CPD Course, CPT Course: SFC Case Studies: Preventing the Risk of Market Misconduct Effectively</vt:lpstr>
    </vt:vector>
  </TitlesOfParts>
  <Manager>Tyrone Tsang</Manager>
  <Company>The Profectional Company Limited</Company>
  <LinksUpToDate>false</LinksUpToDate>
  <CharactersWithSpaces>5245</CharactersWithSpaces>
  <SharedDoc>false</SharedDoc>
  <HyperlinkBase>http://download.profectional.com/events/EVT000000025.doc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SFC Case Studies: Preventing the Risk of Market Misconduct Effectively</dc:title>
  <dc:subject>CPD Course, CPT Course: SFC Case Studies: Preventing the Risk of Market Misconduct Effectively</dc:subject>
  <dc:creator>The Profectional Company Limited</dc:creator>
  <cp:keywords>Profectional; CPD; CPT; CLE; CE; RME; Stephen Suen; Barrister-at-Law; Counsels Chambers</cp:keywords>
  <cp:lastModifiedBy>Tyrone Tsang</cp:lastModifiedBy>
  <cp:revision>2</cp:revision>
  <cp:lastPrinted>2013-05-06T11:47:00Z</cp:lastPrinted>
  <dcterms:created xsi:type="dcterms:W3CDTF">2015-03-06T08:41:00Z</dcterms:created>
  <dcterms:modified xsi:type="dcterms:W3CDTF">2015-03-06T08:41:00Z</dcterms:modified>
</cp:coreProperties>
</file>