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002" w:rsidRPr="000C3002" w:rsidRDefault="000C3002" w:rsidP="000C300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67"/>
        <w:gridCol w:w="6006"/>
      </w:tblGrid>
      <w:tr w:rsidR="000C3002" w:rsidRPr="00523A64" w:rsidTr="002C1664">
        <w:trPr>
          <w:trHeight w:val="3119"/>
          <w:jc w:val="center"/>
        </w:trPr>
        <w:tc>
          <w:tcPr>
            <w:tcW w:w="4767" w:type="dxa"/>
            <w:shd w:val="clear" w:color="auto" w:fill="FFFFFF"/>
            <w:vAlign w:val="center"/>
          </w:tcPr>
          <w:p w:rsidR="000C3002" w:rsidRPr="00510FE2" w:rsidRDefault="000C3002" w:rsidP="002C1664">
            <w:pPr>
              <w:jc w:val="center"/>
              <w:rPr>
                <w:rFonts w:ascii="Arial" w:hAnsi="Arial" w:cs="Arial"/>
                <w:b/>
                <w:bCs/>
                <w:color w:val="524B48"/>
                <w:sz w:val="24"/>
                <w:szCs w:val="24"/>
              </w:rPr>
            </w:pPr>
          </w:p>
          <w:p w:rsidR="000C3002" w:rsidRDefault="000C3002" w:rsidP="002C1664">
            <w:pPr>
              <w:jc w:val="center"/>
              <w:rPr>
                <w:rFonts w:ascii="Arial" w:hAnsi="Arial" w:cs="Arial"/>
                <w:b/>
                <w:bCs/>
                <w:color w:val="524B48"/>
                <w:sz w:val="32"/>
                <w:szCs w:val="32"/>
              </w:rPr>
            </w:pPr>
            <w:r>
              <w:rPr>
                <w:rFonts w:ascii="Arial" w:hAnsi="Arial" w:cs="Arial"/>
                <w:b/>
                <w:bCs/>
                <w:color w:val="524B48"/>
                <w:sz w:val="32"/>
                <w:szCs w:val="32"/>
              </w:rPr>
              <w:t>The Assessment of the</w:t>
            </w:r>
          </w:p>
          <w:p w:rsidR="000C3002" w:rsidRDefault="000C3002" w:rsidP="002C1664">
            <w:pPr>
              <w:jc w:val="center"/>
              <w:rPr>
                <w:rFonts w:ascii="Arial" w:hAnsi="Arial" w:cs="Arial"/>
                <w:b/>
                <w:bCs/>
                <w:color w:val="524B48"/>
                <w:sz w:val="32"/>
                <w:szCs w:val="32"/>
              </w:rPr>
            </w:pPr>
            <w:r>
              <w:rPr>
                <w:rFonts w:ascii="Arial" w:hAnsi="Arial" w:cs="Arial"/>
                <w:b/>
                <w:bCs/>
                <w:color w:val="524B48"/>
                <w:sz w:val="32"/>
                <w:szCs w:val="32"/>
              </w:rPr>
              <w:t>Vegetative State</w:t>
            </w:r>
          </w:p>
          <w:p w:rsidR="000C3002" w:rsidRDefault="000C3002" w:rsidP="002C1664">
            <w:pPr>
              <w:jc w:val="center"/>
              <w:rPr>
                <w:rFonts w:ascii="Arial" w:hAnsi="Arial" w:cs="Arial"/>
                <w:b/>
                <w:bCs/>
                <w:color w:val="524B48"/>
                <w:sz w:val="32"/>
                <w:szCs w:val="32"/>
              </w:rPr>
            </w:pPr>
            <w:r>
              <w:rPr>
                <w:rFonts w:ascii="Arial" w:hAnsi="Arial" w:cs="Arial"/>
                <w:b/>
                <w:bCs/>
                <w:color w:val="524B48"/>
                <w:sz w:val="32"/>
                <w:szCs w:val="32"/>
              </w:rPr>
              <w:t>and Minimally Conscious</w:t>
            </w:r>
          </w:p>
          <w:p w:rsidR="000C3002" w:rsidRDefault="000C3002" w:rsidP="002C1664">
            <w:pPr>
              <w:jc w:val="center"/>
              <w:rPr>
                <w:rFonts w:ascii="Arial" w:hAnsi="Arial" w:cs="Arial"/>
                <w:b/>
                <w:bCs/>
                <w:color w:val="524B48"/>
                <w:sz w:val="32"/>
                <w:szCs w:val="32"/>
              </w:rPr>
            </w:pPr>
            <w:r>
              <w:rPr>
                <w:rFonts w:ascii="Arial" w:hAnsi="Arial" w:cs="Arial"/>
                <w:b/>
                <w:bCs/>
                <w:color w:val="524B48"/>
                <w:sz w:val="32"/>
                <w:szCs w:val="32"/>
              </w:rPr>
              <w:t>State Patient</w:t>
            </w:r>
          </w:p>
          <w:p w:rsidR="000C3002" w:rsidRPr="00BF7ACB" w:rsidRDefault="000C3002" w:rsidP="002C1664">
            <w:pPr>
              <w:jc w:val="center"/>
              <w:rPr>
                <w:rFonts w:ascii="Arial" w:hAnsi="Arial" w:cs="Arial"/>
                <w:b/>
                <w:bCs/>
                <w:color w:val="524B48"/>
                <w:sz w:val="32"/>
                <w:szCs w:val="32"/>
              </w:rPr>
            </w:pPr>
            <w:r>
              <w:rPr>
                <w:rFonts w:ascii="Arial" w:hAnsi="Arial" w:cs="Arial"/>
                <w:b/>
                <w:bCs/>
                <w:color w:val="524B48"/>
                <w:sz w:val="32"/>
                <w:szCs w:val="32"/>
              </w:rPr>
              <w:t>and the S.M.A.R.T.</w:t>
            </w:r>
          </w:p>
          <w:p w:rsidR="000C3002" w:rsidRPr="00510FE2" w:rsidRDefault="000C3002" w:rsidP="002C1664">
            <w:pPr>
              <w:jc w:val="center"/>
              <w:rPr>
                <w:rFonts w:ascii="Arial" w:hAnsi="Arial" w:cs="Arial"/>
                <w:b/>
                <w:bCs/>
                <w:sz w:val="28"/>
                <w:szCs w:val="28"/>
              </w:rPr>
            </w:pPr>
          </w:p>
          <w:p w:rsidR="000C3002" w:rsidRPr="00CE10D9" w:rsidRDefault="000C3002" w:rsidP="002C1664">
            <w:pPr>
              <w:jc w:val="center"/>
              <w:rPr>
                <w:rFonts w:ascii="Arial" w:hAnsi="Arial" w:cs="Arial"/>
                <w:i/>
                <w:color w:val="6C6361"/>
                <w:sz w:val="24"/>
                <w:szCs w:val="24"/>
              </w:rPr>
            </w:pPr>
            <w:r w:rsidRPr="00CE10D9">
              <w:rPr>
                <w:rFonts w:ascii="Arial" w:hAnsi="Arial" w:cs="Arial"/>
                <w:i/>
                <w:color w:val="6C6361"/>
                <w:sz w:val="24"/>
                <w:szCs w:val="24"/>
              </w:rPr>
              <w:t>by</w:t>
            </w:r>
          </w:p>
          <w:p w:rsidR="000C3002" w:rsidRDefault="000C3002" w:rsidP="002C1664">
            <w:pPr>
              <w:jc w:val="center"/>
              <w:rPr>
                <w:rFonts w:ascii="Arial" w:hAnsi="Arial" w:cs="Arial"/>
                <w:color w:val="6C6361"/>
                <w:sz w:val="24"/>
                <w:szCs w:val="24"/>
              </w:rPr>
            </w:pPr>
            <w:r>
              <w:rPr>
                <w:rFonts w:ascii="Arial" w:hAnsi="Arial" w:cs="Arial"/>
                <w:color w:val="6C6361"/>
                <w:sz w:val="24"/>
                <w:szCs w:val="24"/>
              </w:rPr>
              <w:t>Mr. Neville Sarony, Q.C., S.C.,</w:t>
            </w:r>
          </w:p>
          <w:p w:rsidR="000C3002" w:rsidRDefault="000C3002" w:rsidP="002C1664">
            <w:pPr>
              <w:jc w:val="center"/>
              <w:rPr>
                <w:rFonts w:ascii="Arial" w:hAnsi="Arial" w:cs="Arial"/>
                <w:color w:val="6C6361"/>
                <w:sz w:val="24"/>
                <w:szCs w:val="24"/>
              </w:rPr>
            </w:pPr>
            <w:r>
              <w:rPr>
                <w:rFonts w:ascii="Arial" w:hAnsi="Arial" w:cs="Arial"/>
                <w:color w:val="6C6361"/>
                <w:sz w:val="24"/>
                <w:szCs w:val="24"/>
              </w:rPr>
              <w:t>Barrister-at-Law, Pi Chambers &amp;</w:t>
            </w:r>
          </w:p>
          <w:p w:rsidR="000C3002" w:rsidRDefault="000C3002" w:rsidP="002C1664">
            <w:pPr>
              <w:jc w:val="center"/>
              <w:rPr>
                <w:rFonts w:ascii="Arial" w:hAnsi="Arial" w:cs="Arial"/>
                <w:color w:val="6C6361"/>
                <w:sz w:val="24"/>
                <w:szCs w:val="24"/>
              </w:rPr>
            </w:pPr>
            <w:r>
              <w:rPr>
                <w:rFonts w:ascii="Arial" w:hAnsi="Arial" w:cs="Arial"/>
                <w:color w:val="6C6361"/>
                <w:sz w:val="24"/>
                <w:szCs w:val="24"/>
              </w:rPr>
              <w:t xml:space="preserve">Mr. </w:t>
            </w:r>
            <w:r w:rsidRPr="00C03945">
              <w:rPr>
                <w:rFonts w:ascii="Arial" w:hAnsi="Arial" w:cs="Arial"/>
                <w:color w:val="6C6361"/>
                <w:sz w:val="24"/>
                <w:szCs w:val="24"/>
              </w:rPr>
              <w:t>Amirali B. Nasir, J.P.,</w:t>
            </w:r>
          </w:p>
          <w:p w:rsidR="000C3002" w:rsidRPr="00C03945" w:rsidRDefault="000C3002" w:rsidP="002C1664">
            <w:pPr>
              <w:jc w:val="center"/>
              <w:rPr>
                <w:rFonts w:ascii="Arial" w:hAnsi="Arial" w:cs="Arial"/>
                <w:color w:val="6C6361"/>
                <w:sz w:val="24"/>
                <w:szCs w:val="24"/>
              </w:rPr>
            </w:pPr>
            <w:r w:rsidRPr="00C03945">
              <w:rPr>
                <w:rFonts w:ascii="Arial" w:hAnsi="Arial" w:cs="Arial"/>
                <w:color w:val="6C6361"/>
                <w:sz w:val="24"/>
                <w:szCs w:val="24"/>
              </w:rPr>
              <w:t>Solicitor, Notary Public,</w:t>
            </w:r>
          </w:p>
          <w:p w:rsidR="000C3002" w:rsidRPr="00C03945" w:rsidRDefault="000C3002" w:rsidP="002C1664">
            <w:pPr>
              <w:jc w:val="center"/>
              <w:rPr>
                <w:rFonts w:ascii="Arial" w:hAnsi="Arial" w:cs="Arial"/>
                <w:color w:val="6C6361"/>
                <w:sz w:val="24"/>
                <w:szCs w:val="24"/>
              </w:rPr>
            </w:pPr>
            <w:r w:rsidRPr="00C03945">
              <w:rPr>
                <w:rFonts w:ascii="Arial" w:hAnsi="Arial" w:cs="Arial"/>
                <w:color w:val="6C6361"/>
                <w:sz w:val="24"/>
                <w:szCs w:val="24"/>
              </w:rPr>
              <w:t>FHKIoD, Accredited Mediator,</w:t>
            </w:r>
          </w:p>
          <w:p w:rsidR="000C3002" w:rsidRDefault="000C3002" w:rsidP="002C1664">
            <w:pPr>
              <w:jc w:val="center"/>
              <w:rPr>
                <w:rFonts w:ascii="Arial" w:hAnsi="Arial" w:cs="Arial"/>
                <w:color w:val="6C6361"/>
                <w:sz w:val="24"/>
                <w:szCs w:val="24"/>
              </w:rPr>
            </w:pPr>
            <w:r w:rsidRPr="00C03945">
              <w:rPr>
                <w:rFonts w:ascii="Arial" w:hAnsi="Arial" w:cs="Arial"/>
                <w:color w:val="6C6361"/>
                <w:sz w:val="24"/>
                <w:szCs w:val="24"/>
              </w:rPr>
              <w:t>Founder, NASIRS®</w:t>
            </w:r>
          </w:p>
          <w:p w:rsidR="000C3002" w:rsidRPr="005C0156" w:rsidRDefault="000C3002" w:rsidP="002C1664">
            <w:pPr>
              <w:jc w:val="center"/>
              <w:rPr>
                <w:rFonts w:ascii="Arial" w:hAnsi="Arial" w:cs="Arial"/>
                <w:color w:val="6C6361"/>
                <w:sz w:val="24"/>
                <w:szCs w:val="24"/>
              </w:rPr>
            </w:pPr>
          </w:p>
        </w:tc>
        <w:tc>
          <w:tcPr>
            <w:tcW w:w="6006" w:type="dxa"/>
            <w:shd w:val="clear" w:color="auto" w:fill="FFFFFF"/>
            <w:vAlign w:val="center"/>
          </w:tcPr>
          <w:p w:rsidR="000C3002" w:rsidRPr="00D50772" w:rsidRDefault="002A0D22" w:rsidP="002C1664">
            <w:pPr>
              <w:spacing w:line="276" w:lineRule="auto"/>
              <w:jc w:val="center"/>
              <w:rPr>
                <w:rFonts w:ascii="Arial" w:eastAsia="Times New Roman" w:hAnsi="Arial" w:cs="Arial"/>
                <w:noProof/>
                <w:sz w:val="20"/>
                <w:szCs w:val="20"/>
              </w:rPr>
            </w:pPr>
            <w:r w:rsidRPr="0040036F">
              <w:rPr>
                <w:rFonts w:ascii="Arial" w:eastAsia="Times New Roman" w:hAnsi="Arial" w:cs="Arial"/>
                <w:noProof/>
                <w:sz w:val="20"/>
                <w:szCs w:val="20"/>
              </w:rPr>
              <w:drawing>
                <wp:inline distT="0" distB="0" distL="0" distR="0">
                  <wp:extent cx="3657600" cy="1828800"/>
                  <wp:effectExtent l="0" t="0" r="0" b="0"/>
                  <wp:docPr id="51" name="Picture 54"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0C3002" w:rsidRPr="000315FB" w:rsidRDefault="000C3002" w:rsidP="000C3002">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0C3002" w:rsidRPr="001637B0" w:rsidTr="002C1664">
        <w:trPr>
          <w:trHeight w:val="5059"/>
          <w:jc w:val="center"/>
        </w:trPr>
        <w:tc>
          <w:tcPr>
            <w:tcW w:w="1985" w:type="dxa"/>
            <w:shd w:val="clear" w:color="auto" w:fill="FFFFFF"/>
            <w:vAlign w:val="center"/>
          </w:tcPr>
          <w:p w:rsidR="000C3002" w:rsidRPr="001637B0" w:rsidRDefault="002A0D22" w:rsidP="002C1664">
            <w:pPr>
              <w:spacing w:line="276" w:lineRule="auto"/>
              <w:jc w:val="center"/>
              <w:rPr>
                <w:rFonts w:ascii="Arial" w:hAnsi="Arial" w:cs="Arial"/>
                <w:sz w:val="24"/>
                <w:szCs w:val="24"/>
              </w:rPr>
            </w:pPr>
            <w:r w:rsidRPr="0040036F">
              <w:rPr>
                <w:rFonts w:ascii="Arial" w:hAnsi="Arial" w:cs="Arial"/>
                <w:noProof/>
                <w:sz w:val="24"/>
                <w:szCs w:val="24"/>
              </w:rPr>
              <w:drawing>
                <wp:inline distT="0" distB="0" distL="0" distR="0">
                  <wp:extent cx="1085850" cy="1438275"/>
                  <wp:effectExtent l="0" t="0" r="0" b="9525"/>
                  <wp:docPr id="50" name="Picture 5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0C3002" w:rsidRPr="001637B0" w:rsidRDefault="000C3002" w:rsidP="002C1664">
            <w:pPr>
              <w:pStyle w:val="NormalWeb"/>
              <w:spacing w:line="276" w:lineRule="auto"/>
              <w:rPr>
                <w:rFonts w:ascii="Arial" w:hAnsi="Arial" w:cs="Arial"/>
                <w:color w:val="6C6361"/>
              </w:rPr>
            </w:pPr>
            <w:r w:rsidRPr="001637B0">
              <w:rPr>
                <w:rFonts w:ascii="Arial" w:hAnsi="Arial" w:cs="Arial"/>
                <w:b/>
                <w:color w:val="6C6361"/>
              </w:rPr>
              <w:t>Mr. Neville Sarony, Q.C., S.C.</w:t>
            </w:r>
            <w:r w:rsidRPr="001637B0">
              <w:rPr>
                <w:rFonts w:ascii="Arial" w:hAnsi="Arial" w:cs="Arial"/>
                <w:color w:val="6C6361"/>
              </w:rPr>
              <w:t xml:space="preserve"> was called to the Bar of Gray's Inn and obtained an LLB(Hons) degree from the London School of Economics.  He was Recorder of the Crown Court of England &amp; Wales from 1992 to 2005.  He was Advocate of the Supreme Court of Nepal and Fractional Professor of Law, City University of Hong Kong from 2004 to 2008.  He was also past Chairman of the Personal Injury Committee of the Bar Council of Hong Kong.  He was a member of the UK Personal Injury Bar Association and founder member of the Professional Negligence Bar Association of the English Bar.  Mr. Sarony was a member Chief Justice's Committee on Legal Aid.  He was General Editor of "Personal Injury Tables Hong Kong" from 2005 to 2007 and General Editor of "Tort Law &amp; Practice in Hong Kong" (2nd Edition).  He has acted as counsel in many cases involving claimants with profound brain damage, both in the UK and Hong Kong.  He has been a leading counsel in a wide variety of </w:t>
            </w:r>
            <w:r w:rsidRPr="001637B0">
              <w:rPr>
                <w:rFonts w:ascii="Arial" w:hAnsi="Arial" w:cs="Arial"/>
                <w:color w:val="6C6361"/>
              </w:rPr>
              <w:lastRenderedPageBreak/>
              <w:t>authoritative decisions involving personal injuries and medical negligence decided in the Privy Council, Hong Kong CFA and Court of Appeal.</w:t>
            </w:r>
          </w:p>
        </w:tc>
      </w:tr>
    </w:tbl>
    <w:p w:rsidR="000C3002" w:rsidRPr="000315FB" w:rsidRDefault="000C3002" w:rsidP="000C3002">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0C3002" w:rsidRPr="001637B0" w:rsidTr="002C1664">
        <w:trPr>
          <w:trHeight w:val="3729"/>
          <w:jc w:val="center"/>
        </w:trPr>
        <w:tc>
          <w:tcPr>
            <w:tcW w:w="1985" w:type="dxa"/>
            <w:shd w:val="clear" w:color="auto" w:fill="FFFFFF"/>
            <w:vAlign w:val="center"/>
          </w:tcPr>
          <w:p w:rsidR="000C3002" w:rsidRPr="001637B0" w:rsidRDefault="002A0D22" w:rsidP="002C1664">
            <w:pPr>
              <w:spacing w:line="276" w:lineRule="auto"/>
              <w:jc w:val="center"/>
              <w:rPr>
                <w:rFonts w:ascii="Arial" w:hAnsi="Arial" w:cs="Arial"/>
                <w:sz w:val="24"/>
                <w:szCs w:val="24"/>
              </w:rPr>
            </w:pPr>
            <w:r w:rsidRPr="0040036F">
              <w:rPr>
                <w:rFonts w:ascii="Arial" w:hAnsi="Arial" w:cs="Arial"/>
                <w:noProof/>
                <w:sz w:val="24"/>
                <w:szCs w:val="24"/>
              </w:rPr>
              <w:drawing>
                <wp:inline distT="0" distB="0" distL="0" distR="0">
                  <wp:extent cx="1085850" cy="1438275"/>
                  <wp:effectExtent l="0" t="0" r="0" b="9525"/>
                  <wp:docPr id="48" name="Picture 50"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DL000010952_201401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0C3002" w:rsidRPr="001637B0" w:rsidRDefault="000C3002" w:rsidP="002C1664">
            <w:pPr>
              <w:pStyle w:val="NormalWeb"/>
              <w:spacing w:line="276" w:lineRule="auto"/>
              <w:rPr>
                <w:rFonts w:ascii="Arial" w:hAnsi="Arial" w:cs="Arial"/>
                <w:color w:val="6C6361"/>
              </w:rPr>
            </w:pPr>
            <w:r w:rsidRPr="00B21BE5">
              <w:rPr>
                <w:rFonts w:ascii="Arial" w:hAnsi="Arial" w:cs="Arial"/>
                <w:b/>
                <w:color w:val="6C6361"/>
              </w:rPr>
              <w:t>Mr. A.B. Nasir</w:t>
            </w:r>
            <w:r w:rsidRPr="00B21BE5">
              <w:rPr>
                <w:rFonts w:ascii="Arial" w:hAnsi="Arial" w:cs="Arial"/>
                <w:color w:val="6C6361"/>
              </w:rPr>
              <w:t xml:space="preserve">, founder of </w:t>
            </w:r>
            <w:r w:rsidRPr="00B21BE5">
              <w:rPr>
                <w:rFonts w:ascii="Arial" w:hAnsi="Arial" w:cs="Arial"/>
                <w:b/>
                <w:color w:val="6C6361"/>
              </w:rPr>
              <w:t>NASIRS®</w:t>
            </w:r>
            <w:r w:rsidRPr="00B21BE5">
              <w:rPr>
                <w:rFonts w:ascii="Arial" w:hAnsi="Arial" w:cs="Arial"/>
                <w:color w:val="6C6361"/>
              </w:rPr>
              <w:t xml:space="preserve"> (previously </w:t>
            </w:r>
            <w:r w:rsidRPr="00B21BE5">
              <w:rPr>
                <w:rFonts w:ascii="Arial" w:hAnsi="Arial" w:cs="Arial"/>
                <w:b/>
                <w:color w:val="6C6361"/>
              </w:rPr>
              <w:t>AB NASIR &amp; CO.®</w:t>
            </w:r>
            <w:r w:rsidRPr="00B21BE5">
              <w:rPr>
                <w:rFonts w:ascii="Arial" w:hAnsi="Arial" w:cs="Arial"/>
                <w:color w:val="6C6361"/>
              </w:rPr>
              <w:t xml:space="preserve">), is a solicitor admitted in Hong Kong, England and Wales, and the Dubai International Financial Centre Courts.  He is an Accredited Mediator (CEDR, HKIAC &amp; HKMAAL), Council Member of the Law Society of Hong Kong, a member of the Law Society's Personal Injury Committee, member of the Equal Opportunities Commission and possibly the first and only person from Hong Kong to have attended and undertaken the S.M.A.R.T. Course at the Royal Hospital for Neuro-disability in Putney, London, England in January 2012.  Outside the practice of law </w:t>
            </w:r>
            <w:r w:rsidRPr="00E31E35">
              <w:rPr>
                <w:rFonts w:ascii="Arial" w:hAnsi="Arial" w:cs="Arial"/>
                <w:b/>
                <w:color w:val="6C6361"/>
              </w:rPr>
              <w:t>Mr. Nasir</w:t>
            </w:r>
            <w:r w:rsidRPr="00B21BE5">
              <w:rPr>
                <w:rFonts w:ascii="Arial" w:hAnsi="Arial" w:cs="Arial"/>
                <w:color w:val="6C6361"/>
              </w:rPr>
              <w:t xml:space="preserve"> has a keen interest in neuro-technology and neurogaming with his Emotiv headsets, and he is an accredited trainer in NLP, Time Line Therapy and Hypnosis.</w:t>
            </w:r>
          </w:p>
        </w:tc>
      </w:tr>
    </w:tbl>
    <w:p w:rsidR="000C3002" w:rsidRPr="00CB64F5" w:rsidRDefault="000C3002" w:rsidP="000C3002">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C3002" w:rsidRPr="00B72FE0" w:rsidTr="002C1664">
        <w:trPr>
          <w:trHeight w:val="5273"/>
          <w:jc w:val="center"/>
        </w:trPr>
        <w:tc>
          <w:tcPr>
            <w:tcW w:w="10773" w:type="dxa"/>
            <w:gridSpan w:val="2"/>
            <w:tcBorders>
              <w:top w:val="nil"/>
              <w:bottom w:val="nil"/>
            </w:tcBorders>
            <w:shd w:val="clear" w:color="auto" w:fill="FFFFFF"/>
            <w:vAlign w:val="center"/>
          </w:tcPr>
          <w:p w:rsidR="000C3002" w:rsidRPr="00242AB5" w:rsidRDefault="000C3002" w:rsidP="002C1664">
            <w:pPr>
              <w:spacing w:line="276" w:lineRule="auto"/>
              <w:rPr>
                <w:rFonts w:ascii="Arial" w:hAnsi="Arial" w:cs="Arial"/>
                <w:color w:val="6C6361"/>
                <w:sz w:val="24"/>
                <w:szCs w:val="24"/>
              </w:rPr>
            </w:pPr>
            <w:r w:rsidRPr="00242AB5">
              <w:rPr>
                <w:rFonts w:ascii="Arial" w:hAnsi="Arial" w:cs="Arial"/>
                <w:color w:val="6C6361"/>
                <w:sz w:val="24"/>
                <w:szCs w:val="24"/>
              </w:rPr>
              <w:lastRenderedPageBreak/>
              <w:t>Why would a simple fall, infection or near drowning leave a person in a vegetative state (VS), minimal conscious state (MCS), or locked-in state? What are the subtle differences between a diagnosis of a MCS and VS that make the crucial difference in the assessment, care and rehabilitation of a person who the public classify as "vegetables" and yet the book "Le Scaphandre et le Papillon" (The Diving Bell and the Butterfly) was written by journalist Jean-Dominique Bauby while he was in a locked in state.</w:t>
            </w:r>
          </w:p>
          <w:p w:rsidR="000C3002" w:rsidRPr="00242AB5" w:rsidRDefault="000C3002" w:rsidP="002C1664">
            <w:pPr>
              <w:spacing w:line="276" w:lineRule="auto"/>
              <w:rPr>
                <w:rFonts w:ascii="Arial" w:hAnsi="Arial" w:cs="Arial"/>
                <w:color w:val="6C6361"/>
                <w:sz w:val="24"/>
                <w:szCs w:val="24"/>
              </w:rPr>
            </w:pPr>
          </w:p>
          <w:p w:rsidR="000C3002" w:rsidRDefault="000C3002" w:rsidP="002C1664">
            <w:pPr>
              <w:rPr>
                <w:rFonts w:ascii="Arial" w:hAnsi="Arial" w:cs="Arial"/>
                <w:color w:val="6C6361"/>
                <w:sz w:val="24"/>
                <w:szCs w:val="24"/>
              </w:rPr>
            </w:pPr>
            <w:r w:rsidRPr="00242AB5">
              <w:rPr>
                <w:rFonts w:ascii="Arial" w:hAnsi="Arial" w:cs="Arial"/>
                <w:color w:val="6C6361"/>
                <w:sz w:val="24"/>
                <w:szCs w:val="24"/>
              </w:rPr>
              <w:t>The Sensory Modality Assessment and Rehabilita</w:t>
            </w:r>
            <w:r>
              <w:rPr>
                <w:rFonts w:ascii="Arial" w:hAnsi="Arial" w:cs="Arial"/>
                <w:color w:val="6C6361"/>
                <w:sz w:val="24"/>
                <w:szCs w:val="24"/>
              </w:rPr>
              <w:t>tion Technique (SMART</w:t>
            </w:r>
            <w:r w:rsidRPr="00242AB5">
              <w:rPr>
                <w:rFonts w:ascii="Arial" w:hAnsi="Arial" w:cs="Arial"/>
                <w:color w:val="6C6361"/>
                <w:sz w:val="24"/>
                <w:szCs w:val="24"/>
              </w:rPr>
              <w:t xml:space="preserve">) was co-developed by Helen Gill-Thwaites and Rosalind Munday, and was considered in the recent case of </w:t>
            </w:r>
            <w:r w:rsidRPr="00242AB5">
              <w:rPr>
                <w:rFonts w:ascii="Arial" w:hAnsi="Arial" w:cs="Arial"/>
                <w:b/>
                <w:color w:val="6C6361"/>
                <w:sz w:val="24"/>
                <w:szCs w:val="24"/>
              </w:rPr>
              <w:t>W v M (2011) EWHC 2443</w:t>
            </w:r>
            <w:r>
              <w:rPr>
                <w:rFonts w:ascii="Arial" w:hAnsi="Arial" w:cs="Arial"/>
                <w:color w:val="6C6361"/>
                <w:sz w:val="24"/>
                <w:szCs w:val="24"/>
              </w:rPr>
              <w:t>.  SMART</w:t>
            </w:r>
            <w:r w:rsidRPr="00242AB5">
              <w:rPr>
                <w:rFonts w:ascii="Arial" w:hAnsi="Arial" w:cs="Arial"/>
                <w:color w:val="6C6361"/>
                <w:sz w:val="24"/>
                <w:szCs w:val="24"/>
              </w:rPr>
              <w:t xml:space="preserve"> is referred to by the Working Party of the Royal College of Physicians in its Report on "Prolonged disorders of consciousness National Clinical Guidelines" published towards the end of 2013.</w:t>
            </w:r>
          </w:p>
          <w:p w:rsidR="000C3002" w:rsidRDefault="000C3002" w:rsidP="002C1664">
            <w:pPr>
              <w:rPr>
                <w:rFonts w:ascii="Arial" w:hAnsi="Arial" w:cs="Arial"/>
                <w:color w:val="6C6361"/>
                <w:sz w:val="24"/>
                <w:szCs w:val="24"/>
              </w:rPr>
            </w:pPr>
          </w:p>
          <w:p w:rsidR="000C3002" w:rsidRPr="00B72FE0" w:rsidRDefault="000C3002" w:rsidP="002C1664">
            <w:pPr>
              <w:rPr>
                <w:rFonts w:ascii="Arial" w:hAnsi="Arial" w:cs="Arial"/>
                <w:color w:val="6C6361"/>
                <w:sz w:val="24"/>
                <w:szCs w:val="24"/>
              </w:rPr>
            </w:pPr>
            <w:r w:rsidRPr="00242AB5">
              <w:rPr>
                <w:rFonts w:ascii="Arial" w:hAnsi="Arial" w:cs="Arial"/>
                <w:color w:val="6C6361"/>
                <w:sz w:val="24"/>
                <w:szCs w:val="24"/>
              </w:rPr>
              <w:t xml:space="preserve">The course will start with a short video of how </w:t>
            </w:r>
            <w:r>
              <w:rPr>
                <w:rFonts w:ascii="Arial" w:hAnsi="Arial" w:cs="Arial"/>
                <w:color w:val="6C6361"/>
                <w:sz w:val="24"/>
                <w:szCs w:val="24"/>
              </w:rPr>
              <w:t>SMART</w:t>
            </w:r>
            <w:r w:rsidRPr="00242AB5">
              <w:rPr>
                <w:rFonts w:ascii="Arial" w:hAnsi="Arial" w:cs="Arial"/>
                <w:color w:val="6C6361"/>
                <w:sz w:val="24"/>
                <w:szCs w:val="24"/>
              </w:rPr>
              <w:t xml:space="preserve"> is applied and provide an outline of the different levels of consciousness and how they are assessed.  The judgment in </w:t>
            </w:r>
            <w:r w:rsidRPr="00110E8A">
              <w:rPr>
                <w:rFonts w:ascii="Arial" w:hAnsi="Arial" w:cs="Arial"/>
                <w:b/>
                <w:color w:val="6C6361"/>
                <w:sz w:val="24"/>
                <w:szCs w:val="24"/>
              </w:rPr>
              <w:t>W v M</w:t>
            </w:r>
            <w:r w:rsidRPr="00242AB5">
              <w:rPr>
                <w:rFonts w:ascii="Arial" w:hAnsi="Arial" w:cs="Arial"/>
                <w:color w:val="6C6361"/>
                <w:sz w:val="24"/>
                <w:szCs w:val="24"/>
              </w:rPr>
              <w:t xml:space="preserve"> will then be considered and its consequences as well as ethical issues and what the new RCP guidelines recommend.</w:t>
            </w:r>
          </w:p>
        </w:tc>
      </w:tr>
      <w:tr w:rsidR="000C3002" w:rsidRPr="00B72FE0" w:rsidTr="002C1664">
        <w:trPr>
          <w:trHeight w:val="454"/>
          <w:jc w:val="center"/>
        </w:trPr>
        <w:tc>
          <w:tcPr>
            <w:tcW w:w="10773" w:type="dxa"/>
            <w:gridSpan w:val="2"/>
            <w:tcBorders>
              <w:top w:val="nil"/>
              <w:bottom w:val="nil"/>
            </w:tcBorders>
            <w:shd w:val="clear" w:color="auto" w:fill="F0EBE1"/>
            <w:vAlign w:val="center"/>
          </w:tcPr>
          <w:p w:rsidR="000C3002" w:rsidRPr="00B72FE0" w:rsidRDefault="000C3002" w:rsidP="002C1664">
            <w:pPr>
              <w:rPr>
                <w:rFonts w:ascii="Arial" w:hAnsi="Arial" w:cs="Arial"/>
                <w:b/>
                <w:color w:val="524B48"/>
                <w:sz w:val="24"/>
                <w:szCs w:val="24"/>
              </w:rPr>
            </w:pPr>
            <w:r>
              <w:rPr>
                <w:rFonts w:ascii="Arial" w:hAnsi="Arial" w:cs="Arial"/>
                <w:b/>
                <w:color w:val="524B48"/>
                <w:sz w:val="24"/>
                <w:szCs w:val="24"/>
              </w:rPr>
              <w:t>The course will cover the followings:</w:t>
            </w:r>
          </w:p>
        </w:tc>
      </w:tr>
      <w:tr w:rsidR="000C3002" w:rsidRPr="00B72FE0" w:rsidTr="002C1664">
        <w:trPr>
          <w:trHeight w:val="2098"/>
          <w:jc w:val="center"/>
        </w:trPr>
        <w:tc>
          <w:tcPr>
            <w:tcW w:w="10773" w:type="dxa"/>
            <w:gridSpan w:val="2"/>
            <w:tcBorders>
              <w:top w:val="nil"/>
              <w:bottom w:val="nil"/>
            </w:tcBorders>
            <w:shd w:val="clear" w:color="auto" w:fill="FFFFFF"/>
            <w:vAlign w:val="bottom"/>
          </w:tcPr>
          <w:p w:rsidR="000C3002" w:rsidRPr="006575E2" w:rsidRDefault="000C3002" w:rsidP="002C1664">
            <w:pPr>
              <w:pStyle w:val="ListParagraph"/>
              <w:numPr>
                <w:ilvl w:val="0"/>
                <w:numId w:val="2"/>
              </w:numPr>
              <w:jc w:val="left"/>
              <w:rPr>
                <w:rFonts w:ascii="Arial" w:hAnsi="Arial" w:cs="Arial" w:hint="eastAsia"/>
                <w:color w:val="6C6361"/>
                <w:sz w:val="24"/>
                <w:szCs w:val="24"/>
              </w:rPr>
            </w:pPr>
            <w:r w:rsidRPr="006575E2">
              <w:rPr>
                <w:rFonts w:ascii="Arial" w:hAnsi="Arial" w:cs="Arial" w:hint="eastAsia"/>
                <w:color w:val="6C6361"/>
                <w:sz w:val="24"/>
                <w:szCs w:val="24"/>
              </w:rPr>
              <w:t>Stages of consciousness and wakefulness</w:t>
            </w:r>
          </w:p>
          <w:p w:rsidR="000C3002" w:rsidRPr="006575E2" w:rsidRDefault="000C3002" w:rsidP="002C1664">
            <w:pPr>
              <w:pStyle w:val="ListParagraph"/>
              <w:numPr>
                <w:ilvl w:val="0"/>
                <w:numId w:val="2"/>
              </w:numPr>
              <w:jc w:val="left"/>
              <w:rPr>
                <w:rFonts w:ascii="Arial" w:hAnsi="Arial" w:cs="Arial" w:hint="eastAsia"/>
                <w:color w:val="6C6361"/>
                <w:sz w:val="24"/>
                <w:szCs w:val="24"/>
              </w:rPr>
            </w:pPr>
            <w:r w:rsidRPr="006575E2">
              <w:rPr>
                <w:rFonts w:ascii="Arial" w:hAnsi="Arial" w:cs="Arial" w:hint="eastAsia"/>
                <w:color w:val="6C6361"/>
                <w:sz w:val="24"/>
                <w:szCs w:val="24"/>
              </w:rPr>
              <w:t>Prolonged Disorders of Consciousness - National Clinical Guidelines</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Pr>
                <w:rFonts w:ascii="Arial" w:hAnsi="Arial" w:cs="Arial" w:hint="eastAsia"/>
                <w:color w:val="6C6361"/>
                <w:sz w:val="24"/>
                <w:szCs w:val="24"/>
              </w:rPr>
              <w:t>Report of Working Party 2013</w:t>
            </w:r>
          </w:p>
          <w:p w:rsidR="000C3002" w:rsidRPr="006575E2" w:rsidRDefault="000C3002" w:rsidP="002C1664">
            <w:pPr>
              <w:pStyle w:val="ListParagraph"/>
              <w:numPr>
                <w:ilvl w:val="0"/>
                <w:numId w:val="2"/>
              </w:numPr>
              <w:jc w:val="left"/>
              <w:rPr>
                <w:rFonts w:ascii="Arial" w:hAnsi="Arial" w:cs="Arial" w:hint="eastAsia"/>
                <w:color w:val="6C6361"/>
                <w:sz w:val="24"/>
                <w:szCs w:val="24"/>
              </w:rPr>
            </w:pPr>
            <w:r w:rsidRPr="006575E2">
              <w:rPr>
                <w:rFonts w:ascii="Arial" w:hAnsi="Arial" w:cs="Arial" w:hint="eastAsia"/>
                <w:color w:val="6C6361"/>
                <w:sz w:val="24"/>
                <w:szCs w:val="24"/>
              </w:rPr>
              <w:t>Introduction to the SMART, an assessment and treatment tool to detect awareness, functional and communicative capacity</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Pr>
                <w:rFonts w:ascii="Arial" w:hAnsi="Arial" w:cs="Arial" w:hint="eastAsia"/>
                <w:color w:val="6C6361"/>
                <w:sz w:val="24"/>
                <w:szCs w:val="24"/>
              </w:rPr>
              <w:t>Informal (SMART-INFORMS)</w:t>
            </w:r>
          </w:p>
          <w:p w:rsidR="000C3002" w:rsidRPr="00051419" w:rsidRDefault="000C3002" w:rsidP="002C1664">
            <w:pPr>
              <w:pStyle w:val="ListParagraph"/>
              <w:numPr>
                <w:ilvl w:val="1"/>
                <w:numId w:val="2"/>
              </w:numPr>
              <w:jc w:val="left"/>
              <w:rPr>
                <w:rFonts w:ascii="Arial" w:hAnsi="Arial" w:cs="Arial"/>
                <w:color w:val="6C6361"/>
                <w:sz w:val="24"/>
                <w:szCs w:val="24"/>
              </w:rPr>
            </w:pPr>
            <w:r w:rsidRPr="006575E2">
              <w:rPr>
                <w:rFonts w:ascii="Arial" w:hAnsi="Arial" w:cs="Arial" w:hint="eastAsia"/>
                <w:color w:val="6C6361"/>
                <w:sz w:val="24"/>
                <w:szCs w:val="24"/>
              </w:rPr>
              <w:t>Formal assessment (Behavioral Observation and Sensory Assessment)</w:t>
            </w:r>
          </w:p>
        </w:tc>
      </w:tr>
      <w:tr w:rsidR="000C3002" w:rsidRPr="00B72FE0" w:rsidTr="002C1664">
        <w:trPr>
          <w:trHeight w:val="2098"/>
          <w:jc w:val="center"/>
        </w:trPr>
        <w:tc>
          <w:tcPr>
            <w:tcW w:w="9072" w:type="dxa"/>
            <w:tcBorders>
              <w:top w:val="nil"/>
              <w:bottom w:val="nil"/>
              <w:right w:val="nil"/>
            </w:tcBorders>
            <w:shd w:val="clear" w:color="auto" w:fill="FFFFFF"/>
          </w:tcPr>
          <w:p w:rsidR="000C3002" w:rsidRPr="006575E2" w:rsidRDefault="000C3002" w:rsidP="002C1664">
            <w:pPr>
              <w:pStyle w:val="ListParagraph"/>
              <w:numPr>
                <w:ilvl w:val="0"/>
                <w:numId w:val="2"/>
              </w:numPr>
              <w:jc w:val="left"/>
              <w:rPr>
                <w:rFonts w:ascii="Arial" w:hAnsi="Arial" w:cs="Arial" w:hint="eastAsia"/>
                <w:color w:val="6C6361"/>
                <w:sz w:val="24"/>
                <w:szCs w:val="24"/>
              </w:rPr>
            </w:pPr>
            <w:r w:rsidRPr="006575E2">
              <w:rPr>
                <w:rFonts w:ascii="Arial" w:hAnsi="Arial" w:cs="Arial" w:hint="eastAsia"/>
                <w:color w:val="6C6361"/>
                <w:sz w:val="24"/>
                <w:szCs w:val="24"/>
              </w:rPr>
              <w:t>Other tools to track consciousness</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sidRPr="006575E2">
              <w:rPr>
                <w:rFonts w:ascii="Arial" w:hAnsi="Arial" w:cs="Arial" w:hint="eastAsia"/>
                <w:color w:val="6C6361"/>
                <w:sz w:val="24"/>
                <w:szCs w:val="24"/>
              </w:rPr>
              <w:t>The JFK Coma Recovery Scale - Revised (CRS-R)</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sidRPr="006575E2">
              <w:rPr>
                <w:rFonts w:ascii="Arial" w:hAnsi="Arial" w:cs="Arial" w:hint="eastAsia"/>
                <w:color w:val="6C6361"/>
                <w:sz w:val="24"/>
                <w:szCs w:val="24"/>
              </w:rPr>
              <w:t>The Wessex Head Injury Matrix (WHIM)</w:t>
            </w:r>
          </w:p>
          <w:p w:rsidR="000C3002" w:rsidRPr="006575E2" w:rsidRDefault="000C3002" w:rsidP="002C1664">
            <w:pPr>
              <w:pStyle w:val="ListParagraph"/>
              <w:numPr>
                <w:ilvl w:val="0"/>
                <w:numId w:val="2"/>
              </w:numPr>
              <w:jc w:val="left"/>
              <w:rPr>
                <w:rFonts w:ascii="Arial" w:hAnsi="Arial" w:cs="Arial" w:hint="eastAsia"/>
                <w:color w:val="6C6361"/>
                <w:sz w:val="24"/>
                <w:szCs w:val="24"/>
              </w:rPr>
            </w:pPr>
            <w:r w:rsidRPr="006575E2">
              <w:rPr>
                <w:rFonts w:ascii="Arial" w:hAnsi="Arial" w:cs="Arial" w:hint="eastAsia"/>
                <w:color w:val="6C6361"/>
                <w:sz w:val="24"/>
                <w:szCs w:val="24"/>
              </w:rPr>
              <w:t>Prolonged Disorders of Consciousness</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sidRPr="006575E2">
              <w:rPr>
                <w:rFonts w:ascii="Arial" w:hAnsi="Arial" w:cs="Arial" w:hint="eastAsia"/>
                <w:color w:val="6C6361"/>
                <w:sz w:val="24"/>
                <w:szCs w:val="24"/>
              </w:rPr>
              <w:t>Common causes of profound brain injury</w:t>
            </w:r>
          </w:p>
          <w:p w:rsidR="000C3002" w:rsidRPr="006575E2" w:rsidRDefault="000C3002" w:rsidP="002C1664">
            <w:pPr>
              <w:pStyle w:val="ListParagraph"/>
              <w:numPr>
                <w:ilvl w:val="1"/>
                <w:numId w:val="2"/>
              </w:numPr>
              <w:jc w:val="left"/>
              <w:rPr>
                <w:rFonts w:ascii="Arial" w:hAnsi="Arial" w:cs="Arial" w:hint="eastAsia"/>
                <w:color w:val="6C6361"/>
                <w:sz w:val="24"/>
                <w:szCs w:val="24"/>
              </w:rPr>
            </w:pPr>
            <w:r w:rsidRPr="006575E2">
              <w:rPr>
                <w:rFonts w:ascii="Arial" w:hAnsi="Arial" w:cs="Arial" w:hint="eastAsia"/>
                <w:color w:val="6C6361"/>
                <w:sz w:val="24"/>
                <w:szCs w:val="24"/>
              </w:rPr>
              <w:t xml:space="preserve">Varies states of consciousness - Definitions, preconditions and criteria for Coma, </w:t>
            </w:r>
            <w:r>
              <w:rPr>
                <w:rFonts w:ascii="Arial" w:hAnsi="Arial" w:cs="Arial"/>
                <w:color w:val="6C6361"/>
                <w:sz w:val="24"/>
                <w:szCs w:val="24"/>
              </w:rPr>
              <w:t>VS</w:t>
            </w:r>
            <w:r w:rsidRPr="006575E2">
              <w:rPr>
                <w:rFonts w:ascii="Arial" w:hAnsi="Arial" w:cs="Arial" w:hint="eastAsia"/>
                <w:color w:val="6C6361"/>
                <w:sz w:val="24"/>
                <w:szCs w:val="24"/>
              </w:rPr>
              <w:t xml:space="preserve"> and </w:t>
            </w:r>
            <w:r>
              <w:rPr>
                <w:rFonts w:ascii="Arial" w:hAnsi="Arial" w:cs="Arial"/>
                <w:color w:val="6C6361"/>
                <w:sz w:val="24"/>
                <w:szCs w:val="24"/>
              </w:rPr>
              <w:t>MCS</w:t>
            </w:r>
          </w:p>
        </w:tc>
        <w:tc>
          <w:tcPr>
            <w:tcW w:w="1701" w:type="dxa"/>
            <w:tcBorders>
              <w:top w:val="nil"/>
              <w:left w:val="nil"/>
              <w:bottom w:val="nil"/>
            </w:tcBorders>
            <w:shd w:val="clear" w:color="auto" w:fill="FFFFFF"/>
            <w:vAlign w:val="center"/>
          </w:tcPr>
          <w:p w:rsidR="000C3002" w:rsidRDefault="000C3002" w:rsidP="002C1664">
            <w:pPr>
              <w:jc w:val="center"/>
              <w:rPr>
                <w:rFonts w:ascii="Arial" w:hAnsi="Arial" w:cs="Arial"/>
                <w:color w:val="6C6361"/>
                <w:sz w:val="24"/>
                <w:szCs w:val="24"/>
              </w:rPr>
            </w:pPr>
          </w:p>
          <w:p w:rsidR="000C3002" w:rsidRDefault="002A0D22" w:rsidP="002C1664">
            <w:pPr>
              <w:jc w:val="center"/>
              <w:rPr>
                <w:rFonts w:ascii="Arial" w:hAnsi="Arial" w:cs="Arial"/>
                <w:color w:val="6C6361"/>
                <w:sz w:val="24"/>
                <w:szCs w:val="24"/>
              </w:rPr>
            </w:pPr>
            <w:r w:rsidRPr="0040036F">
              <w:rPr>
                <w:rFonts w:ascii="Arial" w:hAnsi="Arial" w:cs="Arial"/>
                <w:noProof/>
                <w:color w:val="6C6361"/>
                <w:sz w:val="24"/>
                <w:szCs w:val="24"/>
              </w:rPr>
              <w:drawing>
                <wp:inline distT="0" distB="0" distL="0" distR="0">
                  <wp:extent cx="895350" cy="1019175"/>
                  <wp:effectExtent l="0" t="0" r="0" b="952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0C3002" w:rsidRPr="00CB64F5" w:rsidRDefault="000C3002" w:rsidP="000C300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6"/>
        <w:gridCol w:w="3740"/>
        <w:gridCol w:w="1950"/>
        <w:gridCol w:w="2442"/>
        <w:gridCol w:w="1274"/>
      </w:tblGrid>
      <w:tr w:rsidR="000C3002" w:rsidRPr="00ED5BDE" w:rsidTr="002C1664">
        <w:trPr>
          <w:trHeight w:val="454"/>
          <w:jc w:val="center"/>
        </w:trPr>
        <w:tc>
          <w:tcPr>
            <w:tcW w:w="1366" w:type="dxa"/>
            <w:tcBorders>
              <w:top w:val="nil"/>
              <w:left w:val="nil"/>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D5BDE">
              <w:rPr>
                <w:rFonts w:ascii="Arial" w:hAnsi="Arial" w:cs="Arial"/>
                <w:b/>
                <w:bCs/>
                <w:color w:val="6C6361"/>
                <w:sz w:val="24"/>
                <w:szCs w:val="24"/>
              </w:rPr>
              <w:t>EVT0000000</w:t>
            </w:r>
            <w:r>
              <w:rPr>
                <w:rFonts w:ascii="Arial" w:hAnsi="Arial" w:cs="Arial"/>
                <w:b/>
                <w:bCs/>
                <w:color w:val="6C6361"/>
                <w:sz w:val="24"/>
                <w:szCs w:val="24"/>
              </w:rPr>
              <w:t>32</w:t>
            </w:r>
          </w:p>
        </w:tc>
        <w:tc>
          <w:tcPr>
            <w:tcW w:w="1950" w:type="dxa"/>
            <w:tcBorders>
              <w:top w:val="nil"/>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Level:</w:t>
            </w:r>
          </w:p>
        </w:tc>
        <w:tc>
          <w:tcPr>
            <w:tcW w:w="3716" w:type="dxa"/>
            <w:gridSpan w:val="2"/>
            <w:tcBorders>
              <w:top w:val="nil"/>
              <w:bottom w:val="single" w:sz="12" w:space="0" w:color="F0EBE1"/>
              <w:right w:val="nil"/>
            </w:tcBorders>
            <w:shd w:val="clear" w:color="auto" w:fill="FFFFFF"/>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eastAsia="Times New Roman" w:hAnsi="Arial" w:cs="Arial"/>
                <w:b/>
                <w:noProof/>
                <w:color w:val="6C6361"/>
                <w:sz w:val="24"/>
                <w:szCs w:val="24"/>
              </w:rPr>
              <w:t>Intermediate</w:t>
            </w:r>
          </w:p>
        </w:tc>
      </w:tr>
      <w:tr w:rsidR="000C3002" w:rsidRPr="00ED5BDE" w:rsidTr="002C1664">
        <w:trPr>
          <w:trHeight w:val="454"/>
          <w:jc w:val="center"/>
        </w:trPr>
        <w:tc>
          <w:tcPr>
            <w:tcW w:w="1366" w:type="dxa"/>
            <w:tcBorders>
              <w:top w:val="single" w:sz="12" w:space="0" w:color="FFFFFF"/>
              <w:left w:val="nil"/>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0C3002"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 xml:space="preserve">21 October </w:t>
            </w:r>
            <w:r w:rsidRPr="00ED5BDE">
              <w:rPr>
                <w:rFonts w:ascii="Arial" w:hAnsi="Arial" w:cs="Arial"/>
                <w:b/>
                <w:color w:val="6C6361"/>
                <w:sz w:val="24"/>
                <w:szCs w:val="24"/>
              </w:rPr>
              <w:t>2014 (</w:t>
            </w:r>
            <w:r>
              <w:rPr>
                <w:rFonts w:ascii="Arial" w:hAnsi="Arial" w:cs="Arial"/>
                <w:b/>
                <w:color w:val="6C6361"/>
                <w:sz w:val="24"/>
                <w:szCs w:val="24"/>
              </w:rPr>
              <w:t>Tues</w:t>
            </w:r>
            <w:r w:rsidRPr="00ED5BDE">
              <w:rPr>
                <w:rFonts w:ascii="Arial" w:hAnsi="Arial" w:cs="Arial"/>
                <w:b/>
                <w:color w:val="6C6361"/>
                <w:sz w:val="24"/>
                <w:szCs w:val="24"/>
              </w:rPr>
              <w:t>day)</w:t>
            </w:r>
          </w:p>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hAnsi="Arial" w:cs="Arial"/>
                <w:b/>
                <w:color w:val="6C6361"/>
                <w:sz w:val="24"/>
                <w:szCs w:val="24"/>
              </w:rPr>
              <w:t>(Amended)</w:t>
            </w:r>
          </w:p>
        </w:tc>
        <w:tc>
          <w:tcPr>
            <w:tcW w:w="1950" w:type="dxa"/>
            <w:tcBorders>
              <w:top w:val="single" w:sz="12" w:space="0" w:color="FFFFFF"/>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Language:</w:t>
            </w:r>
          </w:p>
        </w:tc>
        <w:tc>
          <w:tcPr>
            <w:tcW w:w="3716" w:type="dxa"/>
            <w:gridSpan w:val="2"/>
            <w:tcBorders>
              <w:top w:val="single" w:sz="12" w:space="0" w:color="F0EBE1"/>
              <w:bottom w:val="single" w:sz="12" w:space="0" w:color="F0EBE1"/>
              <w:right w:val="nil"/>
            </w:tcBorders>
            <w:shd w:val="clear" w:color="auto" w:fill="FFFFFF"/>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D5BDE">
              <w:rPr>
                <w:rFonts w:ascii="Arial" w:eastAsia="Times New Roman" w:hAnsi="Arial" w:cs="Arial"/>
                <w:b/>
                <w:noProof/>
                <w:color w:val="6C6361"/>
                <w:sz w:val="24"/>
                <w:szCs w:val="24"/>
              </w:rPr>
              <w:t>English</w:t>
            </w:r>
          </w:p>
        </w:tc>
      </w:tr>
      <w:tr w:rsidR="000C3002" w:rsidRPr="00ED5BDE" w:rsidTr="002C1664">
        <w:trPr>
          <w:trHeight w:val="454"/>
          <w:jc w:val="center"/>
        </w:trPr>
        <w:tc>
          <w:tcPr>
            <w:tcW w:w="1366" w:type="dxa"/>
            <w:tcBorders>
              <w:top w:val="single" w:sz="12" w:space="0" w:color="FFFFFF"/>
              <w:left w:val="nil"/>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lastRenderedPageBreak/>
              <w:t>Time:</w:t>
            </w:r>
          </w:p>
        </w:tc>
        <w:tc>
          <w:tcPr>
            <w:tcW w:w="3740" w:type="dxa"/>
            <w:tcBorders>
              <w:top w:val="single" w:sz="12" w:space="0" w:color="F0EBE1"/>
              <w:bottom w:val="single" w:sz="12" w:space="0" w:color="F0EBE1"/>
            </w:tcBorders>
            <w:shd w:val="clear" w:color="auto" w:fill="FFFFFF"/>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ED5BDE">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Accreditation(s):</w:t>
            </w:r>
          </w:p>
        </w:tc>
        <w:tc>
          <w:tcPr>
            <w:tcW w:w="3716" w:type="dxa"/>
            <w:gridSpan w:val="2"/>
            <w:tcBorders>
              <w:top w:val="single" w:sz="12" w:space="0" w:color="F0EBE1"/>
              <w:bottom w:val="single" w:sz="12" w:space="0" w:color="F0EBE1"/>
              <w:right w:val="nil"/>
            </w:tcBorders>
            <w:shd w:val="clear" w:color="auto" w:fill="FFFFFF"/>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D5BDE">
              <w:rPr>
                <w:rFonts w:ascii="Arial" w:hAnsi="Arial" w:cs="Arial"/>
                <w:b/>
                <w:color w:val="6C6361"/>
                <w:sz w:val="24"/>
                <w:szCs w:val="24"/>
              </w:rPr>
              <w:t xml:space="preserve">LSHK </w:t>
            </w:r>
            <w:r>
              <w:rPr>
                <w:rFonts w:ascii="Arial" w:hAnsi="Arial" w:cs="Arial"/>
                <w:b/>
                <w:color w:val="6C6361"/>
                <w:sz w:val="24"/>
                <w:szCs w:val="24"/>
              </w:rPr>
              <w:t xml:space="preserve">3.0 </w:t>
            </w:r>
            <w:r w:rsidRPr="00ED5BDE">
              <w:rPr>
                <w:rFonts w:ascii="Arial" w:hAnsi="Arial" w:cs="Arial"/>
                <w:b/>
                <w:color w:val="6C6361"/>
                <w:sz w:val="24"/>
                <w:szCs w:val="24"/>
              </w:rPr>
              <w:t>CPD Points</w:t>
            </w:r>
          </w:p>
        </w:tc>
      </w:tr>
      <w:tr w:rsidR="000C3002" w:rsidRPr="00ED5BDE" w:rsidTr="002C1664">
        <w:trPr>
          <w:trHeight w:val="1357"/>
          <w:jc w:val="center"/>
        </w:trPr>
        <w:tc>
          <w:tcPr>
            <w:tcW w:w="1366" w:type="dxa"/>
            <w:tcBorders>
              <w:top w:val="single" w:sz="12" w:space="0" w:color="FFFFFF"/>
              <w:left w:val="nil"/>
              <w:bottom w:val="nil"/>
            </w:tcBorders>
            <w:shd w:val="clear" w:color="auto" w:fill="F0EBE1"/>
            <w:vAlign w:val="center"/>
          </w:tcPr>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ED5BDE">
              <w:rPr>
                <w:rFonts w:ascii="Arial" w:eastAsia="Times New Roman" w:hAnsi="Arial" w:cs="Arial"/>
                <w:noProof/>
                <w:color w:val="524B48"/>
                <w:sz w:val="24"/>
                <w:szCs w:val="24"/>
              </w:rPr>
              <w:t>Venue:</w:t>
            </w:r>
          </w:p>
        </w:tc>
        <w:tc>
          <w:tcPr>
            <w:tcW w:w="3740" w:type="dxa"/>
            <w:tcBorders>
              <w:top w:val="single" w:sz="12" w:space="0" w:color="F0EBE1"/>
              <w:bottom w:val="nil"/>
            </w:tcBorders>
            <w:shd w:val="clear" w:color="auto" w:fill="FFFFFF"/>
            <w:vAlign w:val="center"/>
          </w:tcPr>
          <w:p w:rsidR="000C3002" w:rsidRPr="00ED5BDE" w:rsidRDefault="000C3002" w:rsidP="002C1664">
            <w:pPr>
              <w:spacing w:line="276" w:lineRule="auto"/>
              <w:jc w:val="left"/>
              <w:rPr>
                <w:rFonts w:ascii="Arial" w:hAnsi="Arial" w:cs="Arial"/>
                <w:b/>
                <w:color w:val="6C6361"/>
                <w:sz w:val="24"/>
                <w:szCs w:val="24"/>
              </w:rPr>
            </w:pPr>
            <w:r w:rsidRPr="00ED5BDE">
              <w:rPr>
                <w:rFonts w:ascii="Arial" w:hAnsi="Arial" w:cs="Arial"/>
                <w:b/>
                <w:color w:val="6C6361"/>
                <w:sz w:val="24"/>
                <w:szCs w:val="24"/>
              </w:rPr>
              <w:t>9th Floor,</w:t>
            </w:r>
          </w:p>
          <w:p w:rsidR="000C3002" w:rsidRPr="00ED5BDE" w:rsidRDefault="000C3002" w:rsidP="002C1664">
            <w:pPr>
              <w:spacing w:line="276" w:lineRule="auto"/>
              <w:jc w:val="left"/>
              <w:rPr>
                <w:rFonts w:ascii="Arial" w:hAnsi="Arial" w:cs="Arial"/>
                <w:b/>
                <w:color w:val="6C6361"/>
                <w:sz w:val="24"/>
                <w:szCs w:val="24"/>
              </w:rPr>
            </w:pPr>
            <w:r w:rsidRPr="00ED5BDE">
              <w:rPr>
                <w:rFonts w:ascii="Arial" w:hAnsi="Arial" w:cs="Arial"/>
                <w:b/>
                <w:color w:val="6C6361"/>
                <w:sz w:val="24"/>
                <w:szCs w:val="24"/>
              </w:rPr>
              <w:t>The Chinese Club Building</w:t>
            </w:r>
          </w:p>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D5BDE">
              <w:rPr>
                <w:rFonts w:ascii="Arial" w:hAnsi="Arial" w:cs="Arial"/>
                <w:b/>
                <w:color w:val="6C6361"/>
                <w:sz w:val="24"/>
                <w:szCs w:val="24"/>
              </w:rPr>
              <w:t xml:space="preserve">21-22 Connaught Road Central </w:t>
            </w:r>
          </w:p>
          <w:p w:rsidR="000C3002" w:rsidRPr="00ED5BDE"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ED5BDE">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0C3002" w:rsidRPr="00AF562F"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AF562F">
              <w:rPr>
                <w:rFonts w:ascii="Arial" w:eastAsia="Times New Roman" w:hAnsi="Arial" w:cs="Arial"/>
                <w:noProof/>
                <w:color w:val="524B48"/>
                <w:sz w:val="24"/>
                <w:szCs w:val="24"/>
              </w:rPr>
              <w:t>Request for</w:t>
            </w:r>
          </w:p>
          <w:p w:rsidR="000C3002" w:rsidRPr="00AF562F"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AF562F">
              <w:rPr>
                <w:rFonts w:ascii="Arial" w:eastAsia="Times New Roman" w:hAnsi="Arial" w:cs="Arial"/>
                <w:noProof/>
                <w:color w:val="524B48"/>
                <w:sz w:val="24"/>
                <w:szCs w:val="24"/>
              </w:rPr>
              <w:t>Rerun:</w:t>
            </w:r>
          </w:p>
        </w:tc>
        <w:tc>
          <w:tcPr>
            <w:tcW w:w="2442" w:type="dxa"/>
            <w:tcBorders>
              <w:top w:val="single" w:sz="12" w:space="0" w:color="F0EBE1"/>
              <w:bottom w:val="nil"/>
              <w:right w:val="nil"/>
            </w:tcBorders>
            <w:shd w:val="clear" w:color="auto" w:fill="FFFFFF"/>
            <w:vAlign w:val="center"/>
          </w:tcPr>
          <w:p w:rsidR="000C3002" w:rsidRPr="00AF562F"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AF562F">
              <w:rPr>
                <w:rFonts w:ascii="Arial" w:eastAsia="Times New Roman" w:hAnsi="Arial" w:cs="Arial"/>
                <w:b/>
                <w:noProof/>
                <w:color w:val="6C6361"/>
                <w:sz w:val="24"/>
                <w:szCs w:val="24"/>
              </w:rPr>
              <w:t xml:space="preserve">Please </w:t>
            </w:r>
            <w:hyperlink r:id="rId12" w:history="1">
              <w:r w:rsidRPr="00AF562F">
                <w:rPr>
                  <w:rStyle w:val="Hyperlink"/>
                  <w:rFonts w:ascii="Arial" w:eastAsia="Times New Roman" w:hAnsi="Arial" w:cs="Arial"/>
                  <w:b/>
                  <w:noProof/>
                  <w:color w:val="6C6361"/>
                  <w:sz w:val="24"/>
                  <w:szCs w:val="24"/>
                  <w:u w:val="none"/>
                </w:rPr>
                <w:t>Contact Us</w:t>
              </w:r>
            </w:hyperlink>
          </w:p>
          <w:p w:rsidR="000C3002" w:rsidRPr="00AF562F" w:rsidRDefault="000C300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AF562F">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0C3002" w:rsidRPr="00156567" w:rsidRDefault="002A0D22" w:rsidP="002C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extent cx="647700" cy="64770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0C3002" w:rsidRDefault="00214BC6" w:rsidP="000C3002"/>
    <w:sectPr w:rsidR="00214BC6" w:rsidRPr="000C3002" w:rsidSect="000F34E0">
      <w:headerReference w:type="default" r:id="rId14"/>
      <w:footerReference w:type="default" r:id="rId15"/>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B6A" w:rsidRDefault="007D7B6A" w:rsidP="00546556">
      <w:r>
        <w:separator/>
      </w:r>
    </w:p>
  </w:endnote>
  <w:endnote w:type="continuationSeparator" w:id="0">
    <w:p w:rsidR="007D7B6A" w:rsidRDefault="007D7B6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2A0D22" w:rsidP="000F34E0">
    <w:pPr>
      <w:jc w:val="center"/>
      <w:rPr>
        <w:sz w:val="19"/>
        <w:szCs w:val="19"/>
      </w:rPr>
    </w:pPr>
    <w:r>
      <w:rPr>
        <w:noProof/>
      </w:rPr>
      <mc:AlternateContent>
        <mc:Choice Requires="wpc">
          <w:drawing>
            <wp:inline distT="0" distB="0" distL="0" distR="0">
              <wp:extent cx="5396230" cy="590550"/>
              <wp:effectExtent l="0" t="0" r="0" b="0"/>
              <wp:docPr id="49"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5A93ADD"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B6A" w:rsidRDefault="007D7B6A" w:rsidP="00546556">
      <w:r>
        <w:separator/>
      </w:r>
    </w:p>
  </w:footnote>
  <w:footnote w:type="continuationSeparator" w:id="0">
    <w:p w:rsidR="007D7B6A" w:rsidRDefault="007D7B6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2A0D22">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96A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edBVHxHliYzZCBPBouPqHLc/gFhhwIIlcEexcVJDXlIWkK7jUPMmoTlFa71jkMzPM/Js7nvfhPS+jC6FHJ20Q==" w:salt="m1e1xLvyKy9bhEv07cV9k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0D22"/>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D7B6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D3954469-1624-4FC1-88CC-334561CA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eting@profection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BF26-C42F-4542-B25F-F3AE5792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The Assessment of the Vegetative State and Minimally Conscious State Patient and the S.M.A.R.T.</vt:lpstr>
    </vt:vector>
  </TitlesOfParts>
  <Manager>Tyrone Tsang</Manager>
  <Company>The Profectional Company Limited</Company>
  <LinksUpToDate>false</LinksUpToDate>
  <CharactersWithSpaces>4372</CharactersWithSpaces>
  <SharedDoc>false</SharedDoc>
  <HyperlinkBase>http://download.profectional.com/events/EVT000000032.doc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Assessment of the Vegetative State and Minimally Conscious State Patient and the S.M.A.R.T.</dc:title>
  <dc:subject>CPD Course: The Assessment of the Vegetative State and Minimally Conscious State Patient and the S.M.A.R.T.</dc:subject>
  <dc:creator>The Profectional Company Limited</dc:creator>
  <cp:keywords>Profectional; CPD; CPT; CLE; CE; RME; Neville Sarony; Q.C.; S.C.; Barrister-at-Law; Pi Chambers; Amirali B. Nasir; J.P.; Solicitor; Notary Public; FHKIoD; Accredited Mediator; Founder; Nasirs; AB Nasir &amp; Co.</cp:keywords>
  <cp:lastModifiedBy>Tyrone Tsang</cp:lastModifiedBy>
  <cp:revision>2</cp:revision>
  <cp:lastPrinted>2014-10-16T01:46:00Z</cp:lastPrinted>
  <dcterms:created xsi:type="dcterms:W3CDTF">2015-03-06T08:44:00Z</dcterms:created>
  <dcterms:modified xsi:type="dcterms:W3CDTF">2015-03-06T08:44:00Z</dcterms:modified>
</cp:coreProperties>
</file>