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788" w:rsidRPr="00405788" w:rsidRDefault="00405788" w:rsidP="0040578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05788" w:rsidRPr="00523A64" w:rsidTr="00B618FB">
        <w:trPr>
          <w:trHeight w:val="3119"/>
          <w:jc w:val="center"/>
        </w:trPr>
        <w:tc>
          <w:tcPr>
            <w:tcW w:w="4820" w:type="dxa"/>
            <w:shd w:val="clear" w:color="auto" w:fill="FFFFFF"/>
            <w:vAlign w:val="center"/>
          </w:tcPr>
          <w:p w:rsidR="00405788" w:rsidRPr="003F6DAE" w:rsidRDefault="00405788" w:rsidP="00B618FB">
            <w:pPr>
              <w:jc w:val="center"/>
              <w:rPr>
                <w:rFonts w:ascii="Arial" w:hAnsi="Arial" w:cs="Arial"/>
                <w:b/>
                <w:bCs/>
                <w:color w:val="524B48"/>
                <w:sz w:val="8"/>
                <w:szCs w:val="8"/>
              </w:rPr>
            </w:pPr>
          </w:p>
          <w:p w:rsidR="00405788" w:rsidRDefault="00405788" w:rsidP="00B618FB">
            <w:pPr>
              <w:jc w:val="center"/>
              <w:rPr>
                <w:rFonts w:ascii="Arial" w:hAnsi="Arial" w:cs="Arial"/>
                <w:b/>
                <w:bCs/>
                <w:color w:val="524B48"/>
                <w:sz w:val="32"/>
                <w:szCs w:val="32"/>
              </w:rPr>
            </w:pPr>
            <w:r>
              <w:rPr>
                <w:rFonts w:ascii="Arial" w:hAnsi="Arial" w:cs="Arial"/>
                <w:b/>
                <w:bCs/>
                <w:color w:val="524B48"/>
                <w:sz w:val="32"/>
                <w:szCs w:val="32"/>
              </w:rPr>
              <w:t>Family Law</w:t>
            </w:r>
          </w:p>
          <w:p w:rsidR="00405788" w:rsidRDefault="00405788" w:rsidP="00B618FB">
            <w:pPr>
              <w:jc w:val="center"/>
              <w:rPr>
                <w:rFonts w:ascii="Arial" w:hAnsi="Arial" w:cs="Arial"/>
                <w:b/>
                <w:bCs/>
                <w:color w:val="524B48"/>
                <w:sz w:val="32"/>
                <w:szCs w:val="32"/>
              </w:rPr>
            </w:pPr>
            <w:r>
              <w:rPr>
                <w:rFonts w:ascii="Arial" w:hAnsi="Arial" w:cs="Arial"/>
                <w:b/>
                <w:bCs/>
                <w:color w:val="524B48"/>
                <w:sz w:val="32"/>
                <w:szCs w:val="32"/>
              </w:rPr>
              <w:t xml:space="preserve">- </w:t>
            </w:r>
            <w:r w:rsidRPr="007943F3">
              <w:rPr>
                <w:rFonts w:ascii="Arial" w:hAnsi="Arial" w:cs="Arial"/>
                <w:b/>
                <w:bCs/>
                <w:color w:val="524B48"/>
                <w:sz w:val="32"/>
                <w:szCs w:val="32"/>
              </w:rPr>
              <w:t>Jurisdictional</w:t>
            </w:r>
            <w:r>
              <w:rPr>
                <w:rFonts w:ascii="Arial" w:hAnsi="Arial" w:cs="Arial"/>
                <w:b/>
                <w:bCs/>
                <w:color w:val="524B48"/>
                <w:sz w:val="32"/>
                <w:szCs w:val="32"/>
              </w:rPr>
              <w:t xml:space="preserve"> and</w:t>
            </w:r>
          </w:p>
          <w:p w:rsidR="00405788" w:rsidRDefault="00405788" w:rsidP="00B618FB">
            <w:pPr>
              <w:jc w:val="center"/>
              <w:rPr>
                <w:rFonts w:ascii="Arial" w:hAnsi="Arial" w:cs="Arial"/>
                <w:b/>
                <w:bCs/>
                <w:color w:val="524B48"/>
                <w:sz w:val="32"/>
                <w:szCs w:val="32"/>
              </w:rPr>
            </w:pPr>
            <w:r>
              <w:rPr>
                <w:rFonts w:ascii="Arial" w:hAnsi="Arial" w:cs="Arial"/>
                <w:b/>
                <w:bCs/>
                <w:color w:val="524B48"/>
                <w:sz w:val="32"/>
                <w:szCs w:val="32"/>
              </w:rPr>
              <w:t>Financial Implications</w:t>
            </w:r>
          </w:p>
          <w:p w:rsidR="00405788" w:rsidRPr="007943F3" w:rsidRDefault="00405788" w:rsidP="00B618FB">
            <w:pPr>
              <w:jc w:val="center"/>
              <w:rPr>
                <w:rFonts w:ascii="Arial" w:hAnsi="Arial" w:cs="Arial"/>
                <w:b/>
                <w:bCs/>
                <w:color w:val="524B48"/>
                <w:sz w:val="32"/>
                <w:szCs w:val="32"/>
              </w:rPr>
            </w:pPr>
            <w:r>
              <w:rPr>
                <w:rFonts w:ascii="Arial" w:hAnsi="Arial" w:cs="Arial"/>
                <w:b/>
                <w:bCs/>
                <w:color w:val="524B48"/>
                <w:sz w:val="32"/>
                <w:szCs w:val="32"/>
              </w:rPr>
              <w:t>in International Cases</w:t>
            </w:r>
          </w:p>
          <w:p w:rsidR="00405788" w:rsidRPr="00D50772" w:rsidRDefault="00405788" w:rsidP="00B618FB">
            <w:pPr>
              <w:jc w:val="center"/>
              <w:rPr>
                <w:rFonts w:ascii="Arial" w:hAnsi="Arial" w:cs="Arial"/>
                <w:b/>
                <w:bCs/>
                <w:sz w:val="28"/>
                <w:szCs w:val="28"/>
                <w:lang w:eastAsia="zh-TW"/>
              </w:rPr>
            </w:pPr>
          </w:p>
          <w:p w:rsidR="00405788" w:rsidRPr="00DE313F" w:rsidRDefault="00405788" w:rsidP="00B618FB">
            <w:pPr>
              <w:jc w:val="center"/>
              <w:rPr>
                <w:rFonts w:ascii="Arial" w:hAnsi="Arial" w:cs="Arial"/>
                <w:i/>
                <w:color w:val="6C6361"/>
                <w:sz w:val="24"/>
                <w:szCs w:val="24"/>
              </w:rPr>
            </w:pPr>
            <w:r w:rsidRPr="00DE313F">
              <w:rPr>
                <w:rFonts w:ascii="Arial" w:hAnsi="Arial" w:cs="Arial"/>
                <w:i/>
                <w:color w:val="6C6361"/>
                <w:sz w:val="24"/>
                <w:szCs w:val="24"/>
              </w:rPr>
              <w:t>by</w:t>
            </w:r>
          </w:p>
          <w:p w:rsidR="00405788" w:rsidRPr="007336C4" w:rsidRDefault="00405788" w:rsidP="00B618FB">
            <w:pPr>
              <w:jc w:val="center"/>
              <w:rPr>
                <w:rFonts w:ascii="Arial" w:hAnsi="Arial" w:cs="Arial"/>
                <w:color w:val="6C6361"/>
                <w:sz w:val="24"/>
                <w:szCs w:val="24"/>
              </w:rPr>
            </w:pPr>
            <w:r>
              <w:rPr>
                <w:rFonts w:ascii="Arial" w:hAnsi="Arial" w:cs="Arial"/>
                <w:color w:val="6C6361"/>
                <w:sz w:val="24"/>
                <w:szCs w:val="24"/>
              </w:rPr>
              <w:t>Ms Caroline Langley</w:t>
            </w:r>
            <w:r w:rsidRPr="007336C4">
              <w:rPr>
                <w:rFonts w:ascii="Arial" w:hAnsi="Arial" w:cs="Arial"/>
                <w:color w:val="6C6361"/>
                <w:sz w:val="24"/>
                <w:szCs w:val="24"/>
              </w:rPr>
              <w:t>,</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Barrister-at-Law, Attorney-at-Law, Mediator, Trinity Chambers,</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NITA Certified Trainer,</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Fellow, International Academy</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of Matrimonial Lawyers,</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Co-Chair, ABA International</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Section Family Committee,</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Executive Committee Member,</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Hong Kong Family Law Association,</w:t>
            </w:r>
          </w:p>
          <w:p w:rsidR="00405788" w:rsidRDefault="00405788" w:rsidP="00B618FB">
            <w:pPr>
              <w:jc w:val="center"/>
              <w:rPr>
                <w:rFonts w:ascii="Arial" w:hAnsi="Arial" w:cs="Arial"/>
                <w:color w:val="6C6361"/>
                <w:sz w:val="24"/>
                <w:szCs w:val="24"/>
              </w:rPr>
            </w:pPr>
            <w:r>
              <w:rPr>
                <w:rFonts w:ascii="Arial" w:hAnsi="Arial" w:cs="Arial"/>
                <w:color w:val="6C6361"/>
                <w:sz w:val="24"/>
                <w:szCs w:val="24"/>
              </w:rPr>
              <w:t>Chair, ABA Hong Kong City Chapter</w:t>
            </w:r>
          </w:p>
          <w:p w:rsidR="00405788" w:rsidRPr="00DE313F" w:rsidRDefault="00405788" w:rsidP="00B618FB">
            <w:pPr>
              <w:jc w:val="center"/>
              <w:rPr>
                <w:rFonts w:ascii="Arial" w:hAnsi="Arial" w:cs="Arial"/>
                <w:color w:val="6C6361"/>
                <w:sz w:val="8"/>
                <w:szCs w:val="8"/>
              </w:rPr>
            </w:pPr>
          </w:p>
        </w:tc>
        <w:tc>
          <w:tcPr>
            <w:tcW w:w="5954" w:type="dxa"/>
            <w:shd w:val="clear" w:color="auto" w:fill="FFFFFF"/>
            <w:vAlign w:val="center"/>
          </w:tcPr>
          <w:p w:rsidR="00405788" w:rsidRPr="00D50772" w:rsidRDefault="00AD60CD" w:rsidP="00B618FB">
            <w:pPr>
              <w:spacing w:line="276" w:lineRule="auto"/>
              <w:jc w:val="center"/>
              <w:rPr>
                <w:rFonts w:ascii="Arial" w:eastAsia="Times New Roman" w:hAnsi="Arial" w:cs="Arial"/>
                <w:noProof/>
                <w:sz w:val="20"/>
                <w:szCs w:val="20"/>
              </w:rPr>
            </w:pPr>
            <w:r w:rsidRPr="00894086">
              <w:rPr>
                <w:rFonts w:ascii="Arial" w:eastAsia="Times New Roman" w:hAnsi="Arial" w:cs="Arial"/>
                <w:noProof/>
                <w:sz w:val="20"/>
                <w:szCs w:val="20"/>
              </w:rPr>
              <w:drawing>
                <wp:inline distT="0" distB="0" distL="0" distR="0">
                  <wp:extent cx="3657600" cy="18288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405788" w:rsidRDefault="00405788" w:rsidP="0040578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405788" w:rsidRPr="009D78DE" w:rsidTr="00B618FB">
        <w:trPr>
          <w:trHeight w:val="8343"/>
          <w:jc w:val="center"/>
        </w:trPr>
        <w:tc>
          <w:tcPr>
            <w:tcW w:w="1985" w:type="dxa"/>
            <w:shd w:val="clear" w:color="auto" w:fill="FFFFFF"/>
            <w:vAlign w:val="center"/>
          </w:tcPr>
          <w:p w:rsidR="00405788" w:rsidRPr="009D78DE" w:rsidRDefault="00AD60CD" w:rsidP="00405788">
            <w:pPr>
              <w:spacing w:line="276" w:lineRule="auto"/>
              <w:contextualSpacing/>
              <w:jc w:val="center"/>
              <w:rPr>
                <w:rFonts w:ascii="Arial" w:hAnsi="Arial" w:cs="Arial"/>
                <w:sz w:val="23"/>
                <w:szCs w:val="23"/>
              </w:rPr>
            </w:pPr>
            <w:r w:rsidRPr="00894086">
              <w:rPr>
                <w:rFonts w:ascii="Arial" w:hAnsi="Arial" w:cs="Arial"/>
                <w:noProof/>
                <w:sz w:val="23"/>
                <w:szCs w:val="23"/>
              </w:rPr>
              <w:lastRenderedPageBreak/>
              <w:drawing>
                <wp:inline distT="0" distB="0" distL="0" distR="0">
                  <wp:extent cx="1076325" cy="1438275"/>
                  <wp:effectExtent l="0" t="0" r="9525" b="952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1984:</w:t>
            </w:r>
            <w:r w:rsidRPr="009D78DE">
              <w:rPr>
                <w:rFonts w:ascii="Arial" w:hAnsi="Arial" w:cs="Arial"/>
                <w:color w:val="6C6361"/>
                <w:sz w:val="23"/>
                <w:szCs w:val="23"/>
              </w:rPr>
              <w:tab/>
            </w:r>
            <w:r w:rsidRPr="009D78DE">
              <w:rPr>
                <w:rFonts w:ascii="Arial" w:hAnsi="Arial" w:cs="Arial"/>
                <w:b/>
                <w:color w:val="6C6361"/>
                <w:sz w:val="23"/>
                <w:szCs w:val="23"/>
              </w:rPr>
              <w:t>Bachelor of Science (Honours)</w:t>
            </w:r>
            <w:r w:rsidRPr="009D78DE">
              <w:rPr>
                <w:rFonts w:ascii="Arial" w:hAnsi="Arial" w:cs="Arial"/>
                <w:color w:val="6C6361"/>
                <w:sz w:val="23"/>
                <w:szCs w:val="23"/>
              </w:rPr>
              <w:t>, University of Lancaster</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b/>
                <w:color w:val="6C6361"/>
                <w:sz w:val="23"/>
                <w:szCs w:val="23"/>
              </w:rPr>
            </w:pPr>
            <w:r w:rsidRPr="009D78DE">
              <w:rPr>
                <w:rFonts w:ascii="Arial" w:hAnsi="Arial" w:cs="Arial"/>
                <w:color w:val="6C6361"/>
                <w:sz w:val="23"/>
                <w:szCs w:val="23"/>
              </w:rPr>
              <w:t>1984-1987:</w:t>
            </w:r>
            <w:r w:rsidRPr="009D78DE">
              <w:rPr>
                <w:rFonts w:ascii="Arial" w:hAnsi="Arial" w:cs="Arial"/>
                <w:color w:val="6C6361"/>
                <w:sz w:val="23"/>
                <w:szCs w:val="23"/>
              </w:rPr>
              <w:tab/>
            </w:r>
            <w:r w:rsidRPr="009D78DE">
              <w:rPr>
                <w:rFonts w:ascii="Arial" w:hAnsi="Arial" w:cs="Arial"/>
                <w:b/>
                <w:color w:val="6C6361"/>
                <w:sz w:val="23"/>
                <w:szCs w:val="23"/>
              </w:rPr>
              <w:t>Research Biochemist</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ab/>
              <w:t xml:space="preserve">Syncor Corporation, Berkley, USA </w:t>
            </w:r>
            <w:r w:rsidRPr="009D78DE">
              <w:rPr>
                <w:rFonts w:ascii="Arial" w:hAnsi="Arial" w:cs="Arial"/>
                <w:i/>
                <w:color w:val="6C6361"/>
                <w:sz w:val="23"/>
                <w:szCs w:val="23"/>
              </w:rPr>
              <w:t>- Enzymolgy: Biosensors</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ab/>
              <w:t xml:space="preserve">Royal Free Hospital, London, England </w:t>
            </w:r>
            <w:r w:rsidRPr="009D78DE">
              <w:rPr>
                <w:rFonts w:ascii="Arial" w:hAnsi="Arial" w:cs="Arial"/>
                <w:i/>
                <w:color w:val="6C6361"/>
                <w:sz w:val="23"/>
                <w:szCs w:val="23"/>
              </w:rPr>
              <w:t>- Hematology</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1989:</w:t>
            </w:r>
            <w:r w:rsidRPr="009D78DE">
              <w:rPr>
                <w:rFonts w:ascii="Arial" w:hAnsi="Arial" w:cs="Arial"/>
                <w:color w:val="6C6361"/>
                <w:sz w:val="23"/>
                <w:szCs w:val="23"/>
              </w:rPr>
              <w:tab/>
            </w:r>
            <w:r w:rsidRPr="009D78DE">
              <w:rPr>
                <w:rFonts w:ascii="Arial" w:hAnsi="Arial" w:cs="Arial"/>
                <w:b/>
                <w:color w:val="6C6361"/>
                <w:sz w:val="23"/>
                <w:szCs w:val="23"/>
              </w:rPr>
              <w:t>Call to the Bar of England &amp; Wales</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1990-1991:</w:t>
            </w:r>
            <w:r w:rsidRPr="009D78DE">
              <w:rPr>
                <w:rFonts w:ascii="Arial" w:hAnsi="Arial" w:cs="Arial"/>
                <w:color w:val="6C6361"/>
                <w:sz w:val="23"/>
                <w:szCs w:val="23"/>
              </w:rPr>
              <w:tab/>
            </w:r>
            <w:r w:rsidRPr="009D78DE">
              <w:rPr>
                <w:rFonts w:ascii="Arial" w:hAnsi="Arial" w:cs="Arial"/>
                <w:b/>
                <w:color w:val="6C6361"/>
                <w:sz w:val="23"/>
                <w:szCs w:val="23"/>
              </w:rPr>
              <w:t>Barrister</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ab/>
              <w:t>Chambers of Robin Stewart, Q.C., Temple, England</w:t>
            </w:r>
          </w:p>
          <w:p w:rsidR="00405788" w:rsidRPr="009D78DE" w:rsidRDefault="00405788" w:rsidP="00405788">
            <w:pPr>
              <w:pStyle w:val="NormalWeb"/>
              <w:tabs>
                <w:tab w:val="left" w:pos="1877"/>
              </w:tabs>
              <w:spacing w:before="0" w:beforeAutospacing="0" w:after="0" w:afterAutospacing="0"/>
              <w:contextualSpacing/>
              <w:rPr>
                <w:rFonts w:ascii="Arial" w:hAnsi="Arial" w:cs="Arial"/>
                <w:i/>
                <w:color w:val="6C6361"/>
                <w:sz w:val="23"/>
                <w:szCs w:val="23"/>
              </w:rPr>
            </w:pPr>
            <w:r w:rsidRPr="009D78DE">
              <w:rPr>
                <w:rFonts w:ascii="Arial" w:hAnsi="Arial" w:cs="Arial"/>
                <w:color w:val="6C6361"/>
                <w:sz w:val="23"/>
                <w:szCs w:val="23"/>
              </w:rPr>
              <w:tab/>
            </w:r>
            <w:r w:rsidRPr="009D78DE">
              <w:rPr>
                <w:rFonts w:ascii="Arial" w:hAnsi="Arial" w:cs="Arial"/>
                <w:i/>
                <w:color w:val="6C6361"/>
                <w:sz w:val="23"/>
                <w:szCs w:val="23"/>
              </w:rPr>
              <w:t>- Family Law, Clinical Negligence, Personal Injury</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b/>
                <w:color w:val="6C6361"/>
                <w:sz w:val="23"/>
                <w:szCs w:val="23"/>
              </w:rPr>
            </w:pPr>
            <w:r w:rsidRPr="009D78DE">
              <w:rPr>
                <w:rFonts w:ascii="Arial" w:hAnsi="Arial" w:cs="Arial"/>
                <w:color w:val="6C6361"/>
                <w:sz w:val="23"/>
                <w:szCs w:val="23"/>
              </w:rPr>
              <w:t>1992-1994:</w:t>
            </w:r>
            <w:r w:rsidRPr="009D78DE">
              <w:rPr>
                <w:rFonts w:ascii="Arial" w:hAnsi="Arial" w:cs="Arial"/>
                <w:color w:val="6C6361"/>
                <w:sz w:val="23"/>
                <w:szCs w:val="23"/>
              </w:rPr>
              <w:tab/>
            </w:r>
            <w:r w:rsidRPr="009D78DE">
              <w:rPr>
                <w:rFonts w:ascii="Arial" w:hAnsi="Arial" w:cs="Arial"/>
                <w:b/>
                <w:color w:val="6C6361"/>
                <w:sz w:val="23"/>
                <w:szCs w:val="23"/>
              </w:rPr>
              <w:t>Professor of Law</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ab/>
              <w:t>University of Hong Kong</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ab/>
              <w:t>City University of Hong Kong</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ab/>
              <w:t>UHK School for Professional and Continuing Education</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1997:</w:t>
            </w:r>
            <w:r w:rsidRPr="009D78DE">
              <w:rPr>
                <w:rFonts w:ascii="Arial" w:hAnsi="Arial" w:cs="Arial"/>
                <w:color w:val="6C6361"/>
                <w:sz w:val="23"/>
                <w:szCs w:val="23"/>
              </w:rPr>
              <w:tab/>
            </w:r>
            <w:r w:rsidRPr="009D78DE">
              <w:rPr>
                <w:rFonts w:ascii="Arial" w:hAnsi="Arial" w:cs="Arial"/>
                <w:b/>
                <w:color w:val="6C6361"/>
                <w:sz w:val="23"/>
                <w:szCs w:val="23"/>
              </w:rPr>
              <w:t>Call to the Bar of Hong Kong</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1997-2000:</w:t>
            </w:r>
            <w:r w:rsidRPr="009D78DE">
              <w:rPr>
                <w:rFonts w:ascii="Arial" w:hAnsi="Arial" w:cs="Arial"/>
                <w:color w:val="6C6361"/>
                <w:sz w:val="23"/>
                <w:szCs w:val="23"/>
              </w:rPr>
              <w:tab/>
            </w:r>
            <w:r w:rsidRPr="009D78DE">
              <w:rPr>
                <w:rFonts w:ascii="Arial" w:hAnsi="Arial" w:cs="Arial"/>
                <w:b/>
                <w:color w:val="6C6361"/>
                <w:sz w:val="23"/>
                <w:szCs w:val="23"/>
              </w:rPr>
              <w:t>Barrister</w:t>
            </w:r>
            <w:r w:rsidRPr="009D78DE">
              <w:rPr>
                <w:rFonts w:ascii="Arial" w:hAnsi="Arial" w:cs="Arial"/>
                <w:color w:val="6C6361"/>
                <w:sz w:val="23"/>
                <w:szCs w:val="23"/>
              </w:rPr>
              <w:t>, Trinity Chambers, Hong Kong</w:t>
            </w:r>
          </w:p>
          <w:p w:rsidR="00405788" w:rsidRPr="009D78DE" w:rsidRDefault="00405788" w:rsidP="00405788">
            <w:pPr>
              <w:pStyle w:val="NormalWeb"/>
              <w:tabs>
                <w:tab w:val="left" w:pos="1877"/>
              </w:tabs>
              <w:spacing w:before="0" w:beforeAutospacing="0" w:after="0" w:afterAutospacing="0"/>
              <w:contextualSpacing/>
              <w:rPr>
                <w:rFonts w:ascii="Arial" w:hAnsi="Arial" w:cs="Arial"/>
                <w:i/>
                <w:color w:val="6C6361"/>
                <w:sz w:val="23"/>
                <w:szCs w:val="23"/>
              </w:rPr>
            </w:pPr>
            <w:r w:rsidRPr="009D78DE">
              <w:rPr>
                <w:rFonts w:ascii="Arial" w:hAnsi="Arial" w:cs="Arial"/>
                <w:color w:val="6C6361"/>
                <w:sz w:val="23"/>
                <w:szCs w:val="23"/>
              </w:rPr>
              <w:tab/>
            </w:r>
            <w:r w:rsidRPr="009D78DE">
              <w:rPr>
                <w:rFonts w:ascii="Arial" w:hAnsi="Arial" w:cs="Arial"/>
                <w:i/>
                <w:color w:val="6C6361"/>
                <w:sz w:val="23"/>
                <w:szCs w:val="23"/>
              </w:rPr>
              <w:t>- Family Law, Clinical Negligence, Personal Injury</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2001:</w:t>
            </w:r>
            <w:r w:rsidRPr="009D78DE">
              <w:rPr>
                <w:rFonts w:ascii="Arial" w:hAnsi="Arial" w:cs="Arial"/>
                <w:color w:val="6C6361"/>
                <w:sz w:val="23"/>
                <w:szCs w:val="23"/>
              </w:rPr>
              <w:tab/>
            </w:r>
            <w:r w:rsidRPr="009D78DE">
              <w:rPr>
                <w:rFonts w:ascii="Arial" w:hAnsi="Arial" w:cs="Arial"/>
                <w:b/>
                <w:color w:val="6C6361"/>
                <w:sz w:val="23"/>
                <w:szCs w:val="23"/>
              </w:rPr>
              <w:t>Mediator</w:t>
            </w:r>
            <w:r w:rsidRPr="009D78DE">
              <w:rPr>
                <w:rFonts w:ascii="Arial" w:hAnsi="Arial" w:cs="Arial"/>
                <w:color w:val="6C6361"/>
                <w:sz w:val="23"/>
                <w:szCs w:val="23"/>
              </w:rPr>
              <w:t>, CDR Associates</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b/>
                <w:color w:val="6C6361"/>
                <w:sz w:val="23"/>
                <w:szCs w:val="23"/>
              </w:rPr>
            </w:pPr>
            <w:r w:rsidRPr="009D78DE">
              <w:rPr>
                <w:rFonts w:ascii="Arial" w:hAnsi="Arial" w:cs="Arial"/>
                <w:color w:val="6C6361"/>
                <w:sz w:val="23"/>
                <w:szCs w:val="23"/>
              </w:rPr>
              <w:t>2003:</w:t>
            </w:r>
            <w:r w:rsidRPr="009D78DE">
              <w:rPr>
                <w:rFonts w:ascii="Arial" w:hAnsi="Arial" w:cs="Arial"/>
                <w:color w:val="6C6361"/>
                <w:sz w:val="23"/>
                <w:szCs w:val="23"/>
              </w:rPr>
              <w:tab/>
            </w:r>
            <w:r w:rsidRPr="009D78DE">
              <w:rPr>
                <w:rFonts w:ascii="Arial" w:hAnsi="Arial" w:cs="Arial"/>
                <w:b/>
                <w:color w:val="6C6361"/>
                <w:sz w:val="23"/>
                <w:szCs w:val="23"/>
              </w:rPr>
              <w:t>Attorney,</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b/>
                <w:color w:val="6C6361"/>
                <w:sz w:val="23"/>
                <w:szCs w:val="23"/>
              </w:rPr>
              <w:tab/>
              <w:t>Admitted to Practice in the State of Colorado, USA</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2003:</w:t>
            </w:r>
            <w:r w:rsidRPr="009D78DE">
              <w:rPr>
                <w:rFonts w:ascii="Arial" w:hAnsi="Arial" w:cs="Arial"/>
                <w:color w:val="6C6361"/>
                <w:sz w:val="23"/>
                <w:szCs w:val="23"/>
              </w:rPr>
              <w:tab/>
            </w:r>
            <w:r w:rsidRPr="009D78DE">
              <w:rPr>
                <w:rFonts w:ascii="Arial" w:hAnsi="Arial" w:cs="Arial"/>
                <w:b/>
                <w:color w:val="6C6361"/>
                <w:sz w:val="23"/>
                <w:szCs w:val="23"/>
              </w:rPr>
              <w:t>Assistant Attorney General</w:t>
            </w:r>
            <w:r w:rsidRPr="009D78DE">
              <w:rPr>
                <w:rFonts w:ascii="Arial" w:hAnsi="Arial" w:cs="Arial"/>
                <w:color w:val="6C6361"/>
                <w:sz w:val="23"/>
                <w:szCs w:val="23"/>
              </w:rPr>
              <w:t>, Denver, Colorado, USA</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2003:</w:t>
            </w:r>
            <w:r w:rsidRPr="009D78DE">
              <w:rPr>
                <w:rFonts w:ascii="Arial" w:hAnsi="Arial" w:cs="Arial"/>
                <w:color w:val="6C6361"/>
                <w:sz w:val="23"/>
                <w:szCs w:val="23"/>
              </w:rPr>
              <w:tab/>
            </w:r>
            <w:r w:rsidRPr="009D78DE">
              <w:rPr>
                <w:rFonts w:ascii="Arial" w:hAnsi="Arial" w:cs="Arial"/>
                <w:b/>
                <w:color w:val="6C6361"/>
                <w:sz w:val="23"/>
                <w:szCs w:val="23"/>
              </w:rPr>
              <w:t>National Institute of Trail Advocacy, Certified Trainer</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2004-2011:</w:t>
            </w:r>
            <w:r w:rsidRPr="009D78DE">
              <w:rPr>
                <w:rFonts w:ascii="Arial" w:hAnsi="Arial" w:cs="Arial"/>
                <w:color w:val="6C6361"/>
                <w:sz w:val="23"/>
                <w:szCs w:val="23"/>
              </w:rPr>
              <w:tab/>
            </w:r>
            <w:r w:rsidRPr="009D78DE">
              <w:rPr>
                <w:rFonts w:ascii="Arial" w:hAnsi="Arial" w:cs="Arial"/>
                <w:b/>
                <w:color w:val="6C6361"/>
                <w:sz w:val="23"/>
                <w:szCs w:val="23"/>
              </w:rPr>
              <w:t>Founding Partner</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ab/>
              <w:t xml:space="preserve">Family Law International, Colorado </w:t>
            </w:r>
            <w:r w:rsidRPr="009D78DE">
              <w:rPr>
                <w:rFonts w:ascii="Arial" w:hAnsi="Arial" w:cs="Arial"/>
                <w:i/>
                <w:color w:val="6C6361"/>
                <w:sz w:val="23"/>
                <w:szCs w:val="23"/>
              </w:rPr>
              <w:t>- Family Law, Mediation</w:t>
            </w: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b/>
                <w:color w:val="6C6361"/>
                <w:sz w:val="23"/>
                <w:szCs w:val="23"/>
              </w:rPr>
            </w:pPr>
            <w:r w:rsidRPr="009D78DE">
              <w:rPr>
                <w:rFonts w:ascii="Arial" w:hAnsi="Arial" w:cs="Arial"/>
                <w:color w:val="6C6361"/>
                <w:sz w:val="23"/>
                <w:szCs w:val="23"/>
              </w:rPr>
              <w:t>2006:</w:t>
            </w:r>
            <w:r w:rsidRPr="009D78DE">
              <w:rPr>
                <w:rFonts w:ascii="Arial" w:hAnsi="Arial" w:cs="Arial"/>
                <w:color w:val="6C6361"/>
                <w:sz w:val="23"/>
                <w:szCs w:val="23"/>
              </w:rPr>
              <w:tab/>
            </w:r>
            <w:r w:rsidRPr="009D78DE">
              <w:rPr>
                <w:rFonts w:ascii="Arial" w:hAnsi="Arial" w:cs="Arial"/>
                <w:b/>
                <w:color w:val="6C6361"/>
                <w:sz w:val="23"/>
                <w:szCs w:val="23"/>
              </w:rPr>
              <w:t>Attorney, Admitted to Practice in the State of Colorado,</w:t>
            </w:r>
          </w:p>
          <w:p w:rsidR="00405788" w:rsidRPr="009D78DE" w:rsidRDefault="00405788" w:rsidP="00405788">
            <w:pPr>
              <w:pStyle w:val="NormalWeb"/>
              <w:tabs>
                <w:tab w:val="left" w:pos="1877"/>
              </w:tabs>
              <w:spacing w:before="0" w:beforeAutospacing="0" w:after="0" w:afterAutospacing="0"/>
              <w:contextualSpacing/>
              <w:rPr>
                <w:rFonts w:ascii="Arial" w:hAnsi="Arial" w:cs="Arial"/>
                <w:b/>
                <w:color w:val="6C6361"/>
                <w:sz w:val="23"/>
                <w:szCs w:val="23"/>
              </w:rPr>
            </w:pPr>
            <w:r w:rsidRPr="009D78DE">
              <w:rPr>
                <w:rFonts w:ascii="Arial" w:hAnsi="Arial" w:cs="Arial"/>
                <w:b/>
                <w:color w:val="6C6361"/>
                <w:sz w:val="23"/>
                <w:szCs w:val="23"/>
              </w:rPr>
              <w:tab/>
              <w:t>US District Court, 10th Circuit</w:t>
            </w:r>
          </w:p>
          <w:p w:rsidR="00405788" w:rsidRPr="009D78DE" w:rsidRDefault="00405788" w:rsidP="00405788">
            <w:pPr>
              <w:pStyle w:val="NormalWeb"/>
              <w:tabs>
                <w:tab w:val="left" w:pos="1877"/>
              </w:tabs>
              <w:spacing w:before="0" w:beforeAutospacing="0" w:after="0" w:afterAutospacing="0"/>
              <w:contextualSpacing/>
              <w:rPr>
                <w:rFonts w:ascii="Arial" w:hAnsi="Arial" w:cs="Arial"/>
                <w:b/>
                <w:color w:val="6C6361"/>
                <w:sz w:val="8"/>
                <w:szCs w:val="8"/>
              </w:rPr>
            </w:pPr>
          </w:p>
          <w:p w:rsidR="00405788" w:rsidRPr="009D78DE" w:rsidRDefault="00405788" w:rsidP="00405788">
            <w:pPr>
              <w:pStyle w:val="NormalWeb"/>
              <w:tabs>
                <w:tab w:val="left" w:pos="1877"/>
              </w:tabs>
              <w:spacing w:before="0" w:beforeAutospacing="0" w:after="0" w:afterAutospacing="0"/>
              <w:contextualSpacing/>
              <w:rPr>
                <w:rFonts w:ascii="Arial" w:hAnsi="Arial" w:cs="Arial"/>
                <w:color w:val="6C6361"/>
                <w:sz w:val="23"/>
                <w:szCs w:val="23"/>
              </w:rPr>
            </w:pPr>
            <w:r w:rsidRPr="009D78DE">
              <w:rPr>
                <w:rFonts w:ascii="Arial" w:hAnsi="Arial" w:cs="Arial"/>
                <w:color w:val="6C6361"/>
                <w:sz w:val="23"/>
                <w:szCs w:val="23"/>
              </w:rPr>
              <w:t>2012 - Present:</w:t>
            </w:r>
            <w:r w:rsidRPr="009D78DE">
              <w:rPr>
                <w:rFonts w:ascii="Arial" w:hAnsi="Arial" w:cs="Arial"/>
                <w:color w:val="6C6361"/>
                <w:sz w:val="23"/>
                <w:szCs w:val="23"/>
              </w:rPr>
              <w:tab/>
            </w:r>
            <w:r w:rsidRPr="009D78DE">
              <w:rPr>
                <w:rFonts w:ascii="Arial" w:hAnsi="Arial" w:cs="Arial"/>
                <w:b/>
                <w:color w:val="6C6361"/>
                <w:sz w:val="23"/>
                <w:szCs w:val="23"/>
              </w:rPr>
              <w:t>Common Law Litigation</w:t>
            </w:r>
            <w:r w:rsidRPr="009D78DE">
              <w:rPr>
                <w:rFonts w:ascii="Arial" w:hAnsi="Arial" w:cs="Arial"/>
                <w:color w:val="6C6361"/>
                <w:sz w:val="23"/>
                <w:szCs w:val="23"/>
              </w:rPr>
              <w:t>, Trinity Chambers, Hong Kong</w:t>
            </w:r>
          </w:p>
          <w:p w:rsidR="00405788" w:rsidRPr="009D78DE" w:rsidRDefault="00405788" w:rsidP="00405788">
            <w:pPr>
              <w:pStyle w:val="NormalWeb"/>
              <w:tabs>
                <w:tab w:val="left" w:pos="1877"/>
              </w:tabs>
              <w:spacing w:before="0" w:beforeAutospacing="0" w:after="0" w:afterAutospacing="0"/>
              <w:contextualSpacing/>
              <w:rPr>
                <w:rFonts w:ascii="Arial" w:hAnsi="Arial" w:cs="Arial"/>
                <w:i/>
                <w:color w:val="6C6361"/>
                <w:sz w:val="23"/>
                <w:szCs w:val="23"/>
              </w:rPr>
            </w:pPr>
            <w:r w:rsidRPr="009D78DE">
              <w:rPr>
                <w:rFonts w:ascii="Arial" w:hAnsi="Arial" w:cs="Arial"/>
                <w:color w:val="6C6361"/>
                <w:sz w:val="23"/>
                <w:szCs w:val="23"/>
              </w:rPr>
              <w:tab/>
            </w:r>
            <w:r w:rsidRPr="009D78DE">
              <w:rPr>
                <w:rFonts w:ascii="Arial" w:hAnsi="Arial" w:cs="Arial"/>
                <w:i/>
                <w:color w:val="6C6361"/>
                <w:sz w:val="23"/>
                <w:szCs w:val="23"/>
              </w:rPr>
              <w:t>- Family Law, Mediation</w:t>
            </w:r>
          </w:p>
        </w:tc>
      </w:tr>
    </w:tbl>
    <w:p w:rsidR="00405788" w:rsidRDefault="00405788" w:rsidP="00405788">
      <w:pPr>
        <w:spacing w:line="276" w:lineRule="auto"/>
        <w:jc w:val="left"/>
        <w:rPr>
          <w:rFonts w:ascii="Arial" w:hAnsi="Arial" w:cs="Arial"/>
          <w:sz w:val="20"/>
          <w:szCs w:val="20"/>
        </w:rPr>
      </w:pPr>
    </w:p>
    <w:p w:rsidR="00405788" w:rsidRPr="00405788" w:rsidRDefault="00405788" w:rsidP="00405788">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10773"/>
      </w:tblGrid>
      <w:tr w:rsidR="00405788" w:rsidRPr="009D78DE" w:rsidTr="00B618FB">
        <w:trPr>
          <w:trHeight w:val="2410"/>
          <w:jc w:val="center"/>
        </w:trPr>
        <w:tc>
          <w:tcPr>
            <w:tcW w:w="10773" w:type="dxa"/>
            <w:shd w:val="clear" w:color="auto" w:fill="FFFFFF"/>
            <w:vAlign w:val="center"/>
          </w:tcPr>
          <w:p w:rsidR="00405788" w:rsidRPr="009D78DE" w:rsidRDefault="00405788" w:rsidP="00B618FB">
            <w:pPr>
              <w:tabs>
                <w:tab w:val="left" w:pos="1877"/>
              </w:tabs>
              <w:rPr>
                <w:rFonts w:ascii="Arial" w:hAnsi="Arial" w:cs="Arial"/>
                <w:color w:val="6C6361"/>
                <w:sz w:val="23"/>
                <w:szCs w:val="23"/>
              </w:rPr>
            </w:pPr>
            <w:r w:rsidRPr="009D78DE">
              <w:rPr>
                <w:rFonts w:ascii="Arial" w:hAnsi="Arial" w:cs="Arial"/>
                <w:color w:val="6C6361"/>
                <w:sz w:val="23"/>
                <w:szCs w:val="23"/>
              </w:rPr>
              <w:t>Caroline Langley is in practice as a Barrister in Hong Kong and prior to that, she founded Family Law International in the United States.  She combines over two decades of legal experience with a passion for complex finance matrices and global legal issues of international divorce clients.  Her cases have spanned Europe to South African, North America, Canada and Asia, which has necessitated her being conversant with the laws of those countries and the workings of international treaties.  Her work ethic is to provide a successful result whilst creating and maintaining an environment of accountability, trust and mutual respect.  She has lectured at HKU, HKU-SPACE, and City U.  She is a mediator, a NITA certified advocacy trainer and a Fellow of the IAML.</w:t>
            </w:r>
          </w:p>
        </w:tc>
      </w:tr>
    </w:tbl>
    <w:p w:rsidR="00405788" w:rsidRDefault="00405788" w:rsidP="00405788">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3"/>
        <w:gridCol w:w="1700"/>
      </w:tblGrid>
      <w:tr w:rsidR="00405788" w:rsidRPr="009D78DE" w:rsidTr="00B618FB">
        <w:trPr>
          <w:trHeight w:val="3283"/>
          <w:jc w:val="center"/>
        </w:trPr>
        <w:tc>
          <w:tcPr>
            <w:tcW w:w="10773" w:type="dxa"/>
            <w:gridSpan w:val="2"/>
            <w:tcBorders>
              <w:top w:val="nil"/>
              <w:bottom w:val="nil"/>
            </w:tcBorders>
            <w:shd w:val="clear" w:color="auto" w:fill="FFFFFF"/>
            <w:vAlign w:val="center"/>
          </w:tcPr>
          <w:p w:rsidR="00405788" w:rsidRPr="009D78DE" w:rsidRDefault="00405788" w:rsidP="00B618FB">
            <w:pPr>
              <w:rPr>
                <w:rFonts w:ascii="Arial" w:hAnsi="Arial" w:cs="Arial"/>
                <w:color w:val="6C6361"/>
                <w:sz w:val="23"/>
                <w:szCs w:val="23"/>
              </w:rPr>
            </w:pPr>
            <w:r w:rsidRPr="009D78DE">
              <w:rPr>
                <w:rFonts w:ascii="Arial" w:hAnsi="Arial" w:cs="Arial"/>
                <w:color w:val="6C6361"/>
                <w:sz w:val="23"/>
                <w:szCs w:val="23"/>
              </w:rPr>
              <w:lastRenderedPageBreak/>
              <w:t>Many divorces in Hong Kong today have an international element.  As such, there are jurisdictional and financial implications.  Choosing where a divorce is to be adjudicated is pivotal in securing the best outcome for your client.  How a marital estate is to be divided varies from jurisdiction to jurisdiction.  Some countries favour equitable distribution and others, community property.  How assets are valued and the standards which apply to the valuation and the rules regarding discovery also vary and must also be considered when choosing the appropriate jurisdiction.</w:t>
            </w:r>
          </w:p>
          <w:p w:rsidR="00405788" w:rsidRPr="009D78DE" w:rsidRDefault="00405788" w:rsidP="00B618FB">
            <w:pPr>
              <w:rPr>
                <w:rFonts w:ascii="Arial" w:hAnsi="Arial" w:cs="Arial"/>
                <w:color w:val="6C6361"/>
                <w:sz w:val="8"/>
                <w:szCs w:val="8"/>
              </w:rPr>
            </w:pPr>
          </w:p>
          <w:p w:rsidR="00405788" w:rsidRPr="009D78DE" w:rsidRDefault="00405788" w:rsidP="00B618FB">
            <w:pPr>
              <w:rPr>
                <w:rFonts w:ascii="Arial" w:hAnsi="Arial" w:cs="Arial"/>
                <w:color w:val="6C6361"/>
                <w:sz w:val="23"/>
                <w:szCs w:val="23"/>
              </w:rPr>
            </w:pPr>
            <w:r w:rsidRPr="009D78DE">
              <w:rPr>
                <w:rFonts w:ascii="Arial" w:hAnsi="Arial" w:cs="Arial"/>
                <w:color w:val="6C6361"/>
                <w:sz w:val="23"/>
                <w:szCs w:val="23"/>
              </w:rPr>
              <w:t>This seminar will look at the factors that are involved in choosing the most appropriate forum for the client by identifying factors which are most favourable to the client.  The financial implications of a business valuation and the lawyer’s role in that process is also examined.  The aims of the seminar are to provide the lawyer with a basic knowledge of what are the issues and the advantages and disadvantages to consider in choosing an appropriate jurisdiction and in valuing a business.</w:t>
            </w:r>
          </w:p>
        </w:tc>
      </w:tr>
      <w:tr w:rsidR="00405788" w:rsidRPr="009D78DE" w:rsidTr="00B618FB">
        <w:trPr>
          <w:trHeight w:val="850"/>
          <w:jc w:val="center"/>
        </w:trPr>
        <w:tc>
          <w:tcPr>
            <w:tcW w:w="10773" w:type="dxa"/>
            <w:gridSpan w:val="2"/>
            <w:tcBorders>
              <w:top w:val="nil"/>
              <w:bottom w:val="nil"/>
            </w:tcBorders>
            <w:shd w:val="clear" w:color="auto" w:fill="F0EBE1"/>
            <w:vAlign w:val="center"/>
          </w:tcPr>
          <w:p w:rsidR="00405788" w:rsidRPr="009D78DE" w:rsidRDefault="00405788" w:rsidP="00B618FB">
            <w:pPr>
              <w:rPr>
                <w:rFonts w:ascii="Arial" w:hAnsi="Arial" w:cs="Arial"/>
                <w:b/>
                <w:color w:val="524B48"/>
                <w:sz w:val="23"/>
                <w:szCs w:val="23"/>
              </w:rPr>
            </w:pPr>
            <w:r w:rsidRPr="009D78DE">
              <w:rPr>
                <w:rFonts w:ascii="Arial" w:hAnsi="Arial" w:cs="Arial"/>
                <w:b/>
                <w:color w:val="524B48"/>
                <w:sz w:val="23"/>
                <w:szCs w:val="23"/>
              </w:rPr>
              <w:t>There are unique factors involved in the division of an international marital estate, this course will cover the followings:</w:t>
            </w:r>
          </w:p>
        </w:tc>
      </w:tr>
      <w:tr w:rsidR="00405788" w:rsidRPr="009D78DE" w:rsidTr="00B618FB">
        <w:trPr>
          <w:trHeight w:val="3383"/>
          <w:jc w:val="center"/>
        </w:trPr>
        <w:tc>
          <w:tcPr>
            <w:tcW w:w="9073" w:type="dxa"/>
            <w:tcBorders>
              <w:top w:val="nil"/>
              <w:bottom w:val="nil"/>
              <w:right w:val="nil"/>
            </w:tcBorders>
            <w:shd w:val="clear" w:color="auto" w:fill="FFFFFF"/>
            <w:vAlign w:val="center"/>
          </w:tcPr>
          <w:p w:rsidR="00405788" w:rsidRPr="009D78DE" w:rsidRDefault="00405788" w:rsidP="00B618FB">
            <w:pPr>
              <w:pStyle w:val="ListParagraph"/>
              <w:numPr>
                <w:ilvl w:val="0"/>
                <w:numId w:val="2"/>
              </w:numPr>
              <w:jc w:val="left"/>
              <w:rPr>
                <w:rFonts w:ascii="Arial" w:hAnsi="Arial" w:cs="Arial"/>
                <w:color w:val="6C6361"/>
                <w:sz w:val="23"/>
                <w:szCs w:val="23"/>
              </w:rPr>
            </w:pPr>
            <w:r w:rsidRPr="009D78DE">
              <w:rPr>
                <w:rFonts w:ascii="Arial" w:hAnsi="Arial" w:cs="Arial"/>
                <w:color w:val="6C6361"/>
                <w:sz w:val="23"/>
                <w:szCs w:val="23"/>
              </w:rPr>
              <w:t>Jurisdiction</w:t>
            </w:r>
            <w:r>
              <w:rPr>
                <w:rFonts w:ascii="Arial" w:hAnsi="Arial" w:cs="Arial"/>
                <w:color w:val="6C6361"/>
                <w:sz w:val="23"/>
                <w:szCs w:val="23"/>
              </w:rPr>
              <w:t xml:space="preserve"> </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Practical or favourable</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Habitual residence, domicile, citizenship</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Discovery: Hague Evidence Convention 1970</w:t>
            </w:r>
          </w:p>
          <w:p w:rsidR="00405788" w:rsidRPr="009D78DE" w:rsidRDefault="00405788" w:rsidP="00B618FB">
            <w:pPr>
              <w:jc w:val="left"/>
              <w:rPr>
                <w:rFonts w:ascii="Arial" w:hAnsi="Arial" w:cs="Arial"/>
                <w:color w:val="6C6361"/>
                <w:sz w:val="8"/>
                <w:szCs w:val="8"/>
              </w:rPr>
            </w:pPr>
          </w:p>
          <w:p w:rsidR="00405788" w:rsidRPr="009D78DE" w:rsidRDefault="00405788" w:rsidP="00B618FB">
            <w:pPr>
              <w:pStyle w:val="ListParagraph"/>
              <w:numPr>
                <w:ilvl w:val="0"/>
                <w:numId w:val="2"/>
              </w:numPr>
              <w:jc w:val="left"/>
              <w:rPr>
                <w:rFonts w:ascii="Arial" w:hAnsi="Arial" w:cs="Arial"/>
                <w:color w:val="6C6361"/>
                <w:sz w:val="23"/>
                <w:szCs w:val="23"/>
              </w:rPr>
            </w:pPr>
            <w:r w:rsidRPr="009D78DE">
              <w:rPr>
                <w:rFonts w:ascii="Arial" w:hAnsi="Arial" w:cs="Arial"/>
                <w:color w:val="6C6361"/>
                <w:sz w:val="23"/>
                <w:szCs w:val="23"/>
              </w:rPr>
              <w:t>Valuation methods for business</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The lawyers role in business valuations</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Issues that the expert must address</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Valuation of the client’s interest in the business</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Methodology</w:t>
            </w:r>
          </w:p>
          <w:p w:rsidR="00405788" w:rsidRPr="009D78DE" w:rsidRDefault="00405788" w:rsidP="00B618FB">
            <w:pPr>
              <w:pStyle w:val="ListParagraph"/>
              <w:numPr>
                <w:ilvl w:val="1"/>
                <w:numId w:val="2"/>
              </w:numPr>
              <w:jc w:val="left"/>
              <w:rPr>
                <w:rFonts w:ascii="Arial" w:hAnsi="Arial" w:cs="Arial"/>
                <w:color w:val="6C6361"/>
                <w:sz w:val="23"/>
                <w:szCs w:val="23"/>
              </w:rPr>
            </w:pPr>
            <w:r w:rsidRPr="009D78DE">
              <w:rPr>
                <w:rFonts w:ascii="Arial" w:hAnsi="Arial" w:cs="Arial"/>
                <w:color w:val="6C6361"/>
                <w:sz w:val="23"/>
                <w:szCs w:val="23"/>
              </w:rPr>
              <w:t>Standards</w:t>
            </w:r>
          </w:p>
          <w:p w:rsidR="00405788" w:rsidRPr="009D78DE" w:rsidRDefault="00405788" w:rsidP="00B618FB">
            <w:pPr>
              <w:rPr>
                <w:rFonts w:ascii="Arial" w:hAnsi="Arial" w:cs="Arial"/>
                <w:color w:val="6C6361"/>
                <w:sz w:val="8"/>
                <w:szCs w:val="8"/>
              </w:rPr>
            </w:pPr>
          </w:p>
          <w:p w:rsidR="00405788" w:rsidRPr="009D78DE" w:rsidRDefault="00405788" w:rsidP="00B618FB">
            <w:pPr>
              <w:pStyle w:val="ListParagraph"/>
              <w:numPr>
                <w:ilvl w:val="0"/>
                <w:numId w:val="2"/>
              </w:numPr>
              <w:jc w:val="left"/>
              <w:rPr>
                <w:rFonts w:ascii="Arial" w:hAnsi="Arial" w:cs="Arial"/>
                <w:color w:val="6C6361"/>
                <w:sz w:val="23"/>
                <w:szCs w:val="23"/>
              </w:rPr>
            </w:pPr>
            <w:r w:rsidRPr="009D78DE">
              <w:rPr>
                <w:rFonts w:ascii="Arial" w:hAnsi="Arial" w:cs="Arial"/>
                <w:color w:val="6C6361"/>
                <w:sz w:val="23"/>
                <w:szCs w:val="23"/>
              </w:rPr>
              <w:t>Use of government standards</w:t>
            </w:r>
          </w:p>
        </w:tc>
        <w:tc>
          <w:tcPr>
            <w:tcW w:w="1700" w:type="dxa"/>
            <w:tcBorders>
              <w:top w:val="nil"/>
              <w:left w:val="nil"/>
              <w:bottom w:val="nil"/>
            </w:tcBorders>
            <w:shd w:val="clear" w:color="auto" w:fill="FFFFFF"/>
            <w:vAlign w:val="center"/>
          </w:tcPr>
          <w:p w:rsidR="00405788" w:rsidRPr="009D78DE" w:rsidRDefault="00405788" w:rsidP="00B618FB">
            <w:pPr>
              <w:jc w:val="left"/>
              <w:rPr>
                <w:rFonts w:ascii="Arial" w:hAnsi="Arial" w:cs="Arial"/>
                <w:b/>
                <w:color w:val="6C6361"/>
                <w:sz w:val="23"/>
                <w:szCs w:val="23"/>
              </w:rPr>
            </w:pPr>
          </w:p>
          <w:p w:rsidR="00405788" w:rsidRPr="009D78DE" w:rsidRDefault="00405788" w:rsidP="00B618FB">
            <w:pPr>
              <w:jc w:val="left"/>
              <w:rPr>
                <w:rFonts w:ascii="Arial" w:hAnsi="Arial" w:cs="Arial"/>
                <w:b/>
                <w:color w:val="6C6361"/>
                <w:sz w:val="23"/>
                <w:szCs w:val="23"/>
              </w:rPr>
            </w:pPr>
          </w:p>
          <w:p w:rsidR="00405788" w:rsidRDefault="00405788" w:rsidP="00B618FB">
            <w:pPr>
              <w:jc w:val="left"/>
              <w:rPr>
                <w:rFonts w:ascii="Arial" w:hAnsi="Arial" w:cs="Arial"/>
                <w:b/>
                <w:color w:val="6C6361"/>
                <w:sz w:val="23"/>
                <w:szCs w:val="23"/>
              </w:rPr>
            </w:pPr>
          </w:p>
          <w:p w:rsidR="00405788" w:rsidRPr="009D78DE" w:rsidRDefault="00405788" w:rsidP="00B618FB">
            <w:pPr>
              <w:jc w:val="left"/>
              <w:rPr>
                <w:rFonts w:ascii="Arial" w:hAnsi="Arial" w:cs="Arial"/>
                <w:b/>
                <w:color w:val="6C6361"/>
                <w:sz w:val="23"/>
                <w:szCs w:val="23"/>
              </w:rPr>
            </w:pPr>
          </w:p>
          <w:p w:rsidR="00405788" w:rsidRPr="009D78DE" w:rsidRDefault="00405788" w:rsidP="00B618FB">
            <w:pPr>
              <w:jc w:val="left"/>
              <w:rPr>
                <w:rFonts w:ascii="Arial" w:hAnsi="Arial" w:cs="Arial"/>
                <w:b/>
                <w:color w:val="6C6361"/>
                <w:sz w:val="23"/>
                <w:szCs w:val="23"/>
              </w:rPr>
            </w:pPr>
          </w:p>
          <w:p w:rsidR="00405788" w:rsidRPr="009D78DE" w:rsidRDefault="00AD60CD" w:rsidP="00B618FB">
            <w:pPr>
              <w:jc w:val="left"/>
              <w:rPr>
                <w:rFonts w:ascii="Arial" w:hAnsi="Arial" w:cs="Arial"/>
                <w:b/>
                <w:color w:val="6C6361"/>
                <w:sz w:val="23"/>
                <w:szCs w:val="23"/>
              </w:rPr>
            </w:pPr>
            <w:r w:rsidRPr="00894086">
              <w:rPr>
                <w:rFonts w:ascii="Arial" w:hAnsi="Arial" w:cs="Arial"/>
                <w:noProof/>
                <w:color w:val="6C6361"/>
                <w:sz w:val="23"/>
                <w:szCs w:val="23"/>
              </w:rPr>
              <w:drawing>
                <wp:inline distT="0" distB="0" distL="0" distR="0">
                  <wp:extent cx="895350" cy="1019175"/>
                  <wp:effectExtent l="0" t="0" r="0"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405788" w:rsidRPr="009E5465" w:rsidRDefault="00405788" w:rsidP="00405788">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87"/>
        <w:gridCol w:w="3832"/>
        <w:gridCol w:w="1734"/>
        <w:gridCol w:w="2545"/>
        <w:gridCol w:w="1274"/>
      </w:tblGrid>
      <w:tr w:rsidR="00405788" w:rsidRPr="00276D04" w:rsidTr="00B618FB">
        <w:trPr>
          <w:trHeight w:val="397"/>
          <w:jc w:val="center"/>
        </w:trPr>
        <w:tc>
          <w:tcPr>
            <w:tcW w:w="1387" w:type="dxa"/>
            <w:tcBorders>
              <w:top w:val="nil"/>
              <w:left w:val="nil"/>
              <w:bottom w:val="single" w:sz="12" w:space="0" w:color="FFFFFF"/>
            </w:tcBorders>
            <w:shd w:val="clear" w:color="auto" w:fill="F0EBE1"/>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76D04">
              <w:rPr>
                <w:rFonts w:ascii="Arial" w:eastAsia="Times New Roman" w:hAnsi="Arial" w:cs="Arial"/>
                <w:noProof/>
                <w:color w:val="524B48"/>
                <w:sz w:val="21"/>
                <w:szCs w:val="21"/>
              </w:rPr>
              <w:t>Code:</w:t>
            </w:r>
          </w:p>
        </w:tc>
        <w:tc>
          <w:tcPr>
            <w:tcW w:w="3832" w:type="dxa"/>
            <w:tcBorders>
              <w:top w:val="nil"/>
              <w:bottom w:val="single" w:sz="12" w:space="0" w:color="F0EBE1"/>
            </w:tcBorders>
            <w:shd w:val="clear" w:color="auto" w:fill="FFFFFF"/>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76D04">
              <w:rPr>
                <w:rFonts w:ascii="Arial" w:hAnsi="Arial" w:cs="Arial"/>
                <w:b/>
                <w:bCs/>
                <w:color w:val="6C6361"/>
                <w:sz w:val="21"/>
                <w:szCs w:val="21"/>
              </w:rPr>
              <w:t>EVT000000040</w:t>
            </w:r>
          </w:p>
        </w:tc>
        <w:tc>
          <w:tcPr>
            <w:tcW w:w="1734" w:type="dxa"/>
            <w:tcBorders>
              <w:top w:val="nil"/>
              <w:bottom w:val="single" w:sz="12" w:space="0" w:color="FFFFFF"/>
            </w:tcBorders>
            <w:shd w:val="clear" w:color="auto" w:fill="F0EBE1"/>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76D04">
              <w:rPr>
                <w:rFonts w:ascii="Arial" w:eastAsia="Times New Roman" w:hAnsi="Arial" w:cs="Arial"/>
                <w:noProof/>
                <w:color w:val="524B48"/>
                <w:sz w:val="21"/>
                <w:szCs w:val="21"/>
              </w:rPr>
              <w:t>Level:</w:t>
            </w:r>
          </w:p>
        </w:tc>
        <w:tc>
          <w:tcPr>
            <w:tcW w:w="3819" w:type="dxa"/>
            <w:gridSpan w:val="2"/>
            <w:tcBorders>
              <w:top w:val="nil"/>
              <w:bottom w:val="single" w:sz="12" w:space="0" w:color="F0EBE1"/>
              <w:right w:val="nil"/>
            </w:tcBorders>
            <w:shd w:val="clear" w:color="auto" w:fill="FFFFFF"/>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76D04">
              <w:rPr>
                <w:rFonts w:ascii="Arial" w:eastAsia="Times New Roman" w:hAnsi="Arial" w:cs="Arial"/>
                <w:b/>
                <w:noProof/>
                <w:color w:val="6C6361"/>
                <w:sz w:val="21"/>
                <w:szCs w:val="21"/>
              </w:rPr>
              <w:t>Intermediate</w:t>
            </w:r>
          </w:p>
        </w:tc>
      </w:tr>
      <w:tr w:rsidR="00405788" w:rsidRPr="00276D04" w:rsidTr="00B618FB">
        <w:trPr>
          <w:trHeight w:val="397"/>
          <w:jc w:val="center"/>
        </w:trPr>
        <w:tc>
          <w:tcPr>
            <w:tcW w:w="1387" w:type="dxa"/>
            <w:tcBorders>
              <w:top w:val="single" w:sz="12" w:space="0" w:color="FFFFFF"/>
              <w:left w:val="nil"/>
              <w:bottom w:val="single" w:sz="12" w:space="0" w:color="FFFFFF"/>
            </w:tcBorders>
            <w:shd w:val="clear" w:color="auto" w:fill="F0EBE1"/>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76D04">
              <w:rPr>
                <w:rFonts w:ascii="Arial" w:eastAsia="Times New Roman" w:hAnsi="Arial" w:cs="Arial"/>
                <w:noProof/>
                <w:color w:val="524B48"/>
                <w:sz w:val="21"/>
                <w:szCs w:val="21"/>
              </w:rPr>
              <w:t>Date:</w:t>
            </w:r>
          </w:p>
        </w:tc>
        <w:tc>
          <w:tcPr>
            <w:tcW w:w="3832" w:type="dxa"/>
            <w:tcBorders>
              <w:top w:val="single" w:sz="12" w:space="0" w:color="F0EBE1"/>
              <w:bottom w:val="single" w:sz="12" w:space="0" w:color="F0EBE1"/>
            </w:tcBorders>
            <w:shd w:val="clear" w:color="auto" w:fill="FFFFFF"/>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76D04">
              <w:rPr>
                <w:rFonts w:ascii="Arial" w:hAnsi="Arial" w:cs="Arial"/>
                <w:b/>
                <w:color w:val="6C6361"/>
                <w:sz w:val="21"/>
                <w:szCs w:val="21"/>
              </w:rPr>
              <w:t>5 December 2014 (Friday)</w:t>
            </w:r>
          </w:p>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76D04">
              <w:rPr>
                <w:rFonts w:ascii="Arial" w:hAnsi="Arial" w:cs="Arial"/>
                <w:b/>
                <w:color w:val="6C6361"/>
                <w:sz w:val="21"/>
                <w:szCs w:val="21"/>
              </w:rPr>
              <w:t>(Amended)</w:t>
            </w:r>
          </w:p>
        </w:tc>
        <w:tc>
          <w:tcPr>
            <w:tcW w:w="1734" w:type="dxa"/>
            <w:tcBorders>
              <w:top w:val="single" w:sz="12" w:space="0" w:color="FFFFFF"/>
              <w:bottom w:val="single" w:sz="12" w:space="0" w:color="FFFFFF"/>
            </w:tcBorders>
            <w:shd w:val="clear" w:color="auto" w:fill="F0EBE1"/>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76D04">
              <w:rPr>
                <w:rFonts w:ascii="Arial" w:eastAsia="Times New Roman" w:hAnsi="Arial" w:cs="Arial"/>
                <w:noProof/>
                <w:color w:val="524B48"/>
                <w:sz w:val="21"/>
                <w:szCs w:val="21"/>
              </w:rPr>
              <w:t>Language:</w:t>
            </w:r>
          </w:p>
        </w:tc>
        <w:tc>
          <w:tcPr>
            <w:tcW w:w="3819" w:type="dxa"/>
            <w:gridSpan w:val="2"/>
            <w:tcBorders>
              <w:top w:val="single" w:sz="12" w:space="0" w:color="F0EBE1"/>
              <w:bottom w:val="single" w:sz="12" w:space="0" w:color="F0EBE1"/>
              <w:right w:val="nil"/>
            </w:tcBorders>
            <w:shd w:val="clear" w:color="auto" w:fill="FFFFFF"/>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76D04">
              <w:rPr>
                <w:rFonts w:ascii="Arial" w:eastAsia="Times New Roman" w:hAnsi="Arial" w:cs="Arial"/>
                <w:b/>
                <w:noProof/>
                <w:color w:val="6C6361"/>
                <w:sz w:val="21"/>
                <w:szCs w:val="21"/>
              </w:rPr>
              <w:t>English</w:t>
            </w:r>
          </w:p>
        </w:tc>
      </w:tr>
      <w:tr w:rsidR="00405788" w:rsidRPr="00276D04" w:rsidTr="00B618FB">
        <w:trPr>
          <w:trHeight w:val="397"/>
          <w:jc w:val="center"/>
        </w:trPr>
        <w:tc>
          <w:tcPr>
            <w:tcW w:w="1387" w:type="dxa"/>
            <w:tcBorders>
              <w:top w:val="single" w:sz="12" w:space="0" w:color="FFFFFF"/>
              <w:left w:val="nil"/>
              <w:bottom w:val="single" w:sz="12" w:space="0" w:color="FFFFFF"/>
            </w:tcBorders>
            <w:shd w:val="clear" w:color="auto" w:fill="F0EBE1"/>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76D04">
              <w:rPr>
                <w:rFonts w:ascii="Arial" w:eastAsia="Times New Roman" w:hAnsi="Arial" w:cs="Arial"/>
                <w:noProof/>
                <w:color w:val="524B48"/>
                <w:sz w:val="21"/>
                <w:szCs w:val="21"/>
              </w:rPr>
              <w:t>Time:</w:t>
            </w:r>
          </w:p>
        </w:tc>
        <w:tc>
          <w:tcPr>
            <w:tcW w:w="3832" w:type="dxa"/>
            <w:tcBorders>
              <w:top w:val="single" w:sz="12" w:space="0" w:color="F0EBE1"/>
              <w:bottom w:val="single" w:sz="12" w:space="0" w:color="F0EBE1"/>
            </w:tcBorders>
            <w:shd w:val="clear" w:color="auto" w:fill="FFFFFF"/>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76D04">
              <w:rPr>
                <w:rFonts w:ascii="Arial" w:hAnsi="Arial" w:cs="Arial"/>
                <w:b/>
                <w:color w:val="6C6361"/>
                <w:sz w:val="21"/>
                <w:szCs w:val="21"/>
              </w:rPr>
              <w:t>14:30 - 17:45</w:t>
            </w:r>
          </w:p>
        </w:tc>
        <w:tc>
          <w:tcPr>
            <w:tcW w:w="1734" w:type="dxa"/>
            <w:tcBorders>
              <w:top w:val="single" w:sz="12" w:space="0" w:color="FFFFFF"/>
              <w:bottom w:val="single" w:sz="12" w:space="0" w:color="FFFFFF"/>
            </w:tcBorders>
            <w:shd w:val="clear" w:color="auto" w:fill="F0EBE1"/>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76D04">
              <w:rPr>
                <w:rFonts w:ascii="Arial" w:eastAsia="Times New Roman" w:hAnsi="Arial" w:cs="Arial"/>
                <w:noProof/>
                <w:color w:val="524B48"/>
                <w:sz w:val="21"/>
                <w:szCs w:val="21"/>
              </w:rPr>
              <w:t>Accreditation(s):</w:t>
            </w:r>
          </w:p>
        </w:tc>
        <w:tc>
          <w:tcPr>
            <w:tcW w:w="3819" w:type="dxa"/>
            <w:gridSpan w:val="2"/>
            <w:tcBorders>
              <w:top w:val="single" w:sz="12" w:space="0" w:color="F0EBE1"/>
              <w:bottom w:val="single" w:sz="12" w:space="0" w:color="F0EBE1"/>
              <w:right w:val="nil"/>
            </w:tcBorders>
            <w:shd w:val="clear" w:color="auto" w:fill="FFFFFF"/>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76D04">
              <w:rPr>
                <w:rFonts w:ascii="Arial" w:hAnsi="Arial" w:cs="Arial"/>
                <w:b/>
                <w:color w:val="6C6361"/>
                <w:sz w:val="21"/>
                <w:szCs w:val="21"/>
              </w:rPr>
              <w:t>LSHK 3.0 CPD Points</w:t>
            </w:r>
          </w:p>
          <w:p w:rsidR="00405788" w:rsidRPr="00276D04" w:rsidRDefault="00405788" w:rsidP="00B618FB">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0"/>
              <w:jc w:val="left"/>
              <w:rPr>
                <w:rFonts w:ascii="Arial" w:hAnsi="Arial" w:cs="Arial"/>
                <w:b/>
                <w:color w:val="6C6361"/>
                <w:sz w:val="21"/>
                <w:szCs w:val="21"/>
              </w:rPr>
            </w:pPr>
            <w:r w:rsidRPr="00276D04">
              <w:rPr>
                <w:rFonts w:ascii="Arial" w:hAnsi="Arial" w:cs="Arial"/>
                <w:b/>
                <w:color w:val="6C6361"/>
                <w:sz w:val="21"/>
                <w:szCs w:val="21"/>
              </w:rPr>
              <w:t>HKMAAL 3.0 CPD Points</w:t>
            </w:r>
          </w:p>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76D04">
              <w:rPr>
                <w:rFonts w:ascii="Arial" w:hAnsi="Arial" w:cs="Arial"/>
                <w:b/>
                <w:color w:val="6C6361"/>
                <w:sz w:val="21"/>
                <w:szCs w:val="21"/>
              </w:rPr>
              <w:t>HKIAC 3.0 CPD Points for</w:t>
            </w:r>
          </w:p>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76D04">
              <w:rPr>
                <w:rFonts w:ascii="Arial" w:hAnsi="Arial" w:cs="Arial"/>
                <w:b/>
                <w:color w:val="6C6361"/>
                <w:sz w:val="21"/>
                <w:szCs w:val="21"/>
              </w:rPr>
              <w:t>Accredited Mediators</w:t>
            </w:r>
          </w:p>
        </w:tc>
      </w:tr>
      <w:tr w:rsidR="00405788" w:rsidRPr="00276D04" w:rsidTr="00B618FB">
        <w:trPr>
          <w:trHeight w:val="1284"/>
          <w:jc w:val="center"/>
        </w:trPr>
        <w:tc>
          <w:tcPr>
            <w:tcW w:w="1387" w:type="dxa"/>
            <w:tcBorders>
              <w:top w:val="single" w:sz="12" w:space="0" w:color="FFFFFF"/>
              <w:left w:val="nil"/>
              <w:bottom w:val="nil"/>
            </w:tcBorders>
            <w:shd w:val="clear" w:color="auto" w:fill="F0EBE1"/>
            <w:vAlign w:val="center"/>
          </w:tcPr>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76D04">
              <w:rPr>
                <w:rFonts w:ascii="Arial" w:eastAsia="Times New Roman" w:hAnsi="Arial" w:cs="Arial"/>
                <w:noProof/>
                <w:color w:val="524B48"/>
                <w:sz w:val="21"/>
                <w:szCs w:val="21"/>
              </w:rPr>
              <w:t>Venue:</w:t>
            </w:r>
          </w:p>
        </w:tc>
        <w:tc>
          <w:tcPr>
            <w:tcW w:w="3832" w:type="dxa"/>
            <w:tcBorders>
              <w:top w:val="single" w:sz="12" w:space="0" w:color="F0EBE1"/>
              <w:bottom w:val="nil"/>
            </w:tcBorders>
            <w:shd w:val="clear" w:color="auto" w:fill="FFFFFF"/>
            <w:vAlign w:val="center"/>
          </w:tcPr>
          <w:p w:rsidR="00405788" w:rsidRPr="00276D04" w:rsidRDefault="00405788" w:rsidP="00B618FB">
            <w:pPr>
              <w:spacing w:line="276" w:lineRule="auto"/>
              <w:jc w:val="left"/>
              <w:rPr>
                <w:rFonts w:ascii="Arial" w:hAnsi="Arial" w:cs="Arial"/>
                <w:b/>
                <w:color w:val="6C6361"/>
                <w:sz w:val="21"/>
                <w:szCs w:val="21"/>
              </w:rPr>
            </w:pPr>
            <w:r w:rsidRPr="00276D04">
              <w:rPr>
                <w:rFonts w:ascii="Arial" w:hAnsi="Arial" w:cs="Arial"/>
                <w:b/>
                <w:color w:val="6C6361"/>
                <w:sz w:val="21"/>
                <w:szCs w:val="21"/>
              </w:rPr>
              <w:t>9th Floor,</w:t>
            </w:r>
          </w:p>
          <w:p w:rsidR="00405788" w:rsidRPr="00276D04" w:rsidRDefault="00405788" w:rsidP="00B618FB">
            <w:pPr>
              <w:spacing w:line="276" w:lineRule="auto"/>
              <w:jc w:val="left"/>
              <w:rPr>
                <w:rFonts w:ascii="Arial" w:hAnsi="Arial" w:cs="Arial"/>
                <w:b/>
                <w:color w:val="6C6361"/>
                <w:sz w:val="21"/>
                <w:szCs w:val="21"/>
              </w:rPr>
            </w:pPr>
            <w:r w:rsidRPr="00276D04">
              <w:rPr>
                <w:rFonts w:ascii="Arial" w:hAnsi="Arial" w:cs="Arial"/>
                <w:b/>
                <w:color w:val="6C6361"/>
                <w:sz w:val="21"/>
                <w:szCs w:val="21"/>
              </w:rPr>
              <w:t>The Chinese Club Building</w:t>
            </w:r>
          </w:p>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76D04">
              <w:rPr>
                <w:rFonts w:ascii="Arial" w:hAnsi="Arial" w:cs="Arial"/>
                <w:b/>
                <w:color w:val="6C6361"/>
                <w:sz w:val="21"/>
                <w:szCs w:val="21"/>
              </w:rPr>
              <w:t xml:space="preserve">21-22 Connaught Road Central </w:t>
            </w:r>
          </w:p>
          <w:p w:rsidR="00405788" w:rsidRPr="00276D04"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76D04">
              <w:rPr>
                <w:rFonts w:ascii="Arial" w:hAnsi="Arial" w:cs="Arial"/>
                <w:b/>
                <w:color w:val="6C6361"/>
                <w:sz w:val="21"/>
                <w:szCs w:val="21"/>
              </w:rPr>
              <w:t>Central, Hong Kong</w:t>
            </w:r>
          </w:p>
        </w:tc>
        <w:tc>
          <w:tcPr>
            <w:tcW w:w="1734" w:type="dxa"/>
            <w:tcBorders>
              <w:top w:val="single" w:sz="12" w:space="0" w:color="FFFFFF"/>
              <w:bottom w:val="nil"/>
            </w:tcBorders>
            <w:shd w:val="clear" w:color="auto" w:fill="F0EBE1"/>
            <w:vAlign w:val="center"/>
          </w:tcPr>
          <w:p w:rsidR="00405788" w:rsidRPr="00A04A1F"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04A1F">
              <w:rPr>
                <w:rFonts w:ascii="Arial" w:eastAsia="Times New Roman" w:hAnsi="Arial" w:cs="Arial"/>
                <w:noProof/>
                <w:color w:val="524B48"/>
                <w:sz w:val="21"/>
                <w:szCs w:val="21"/>
              </w:rPr>
              <w:t>Request for</w:t>
            </w:r>
          </w:p>
          <w:p w:rsidR="00405788" w:rsidRPr="00A04A1F"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04A1F">
              <w:rPr>
                <w:rFonts w:ascii="Arial" w:eastAsia="Times New Roman" w:hAnsi="Arial" w:cs="Arial"/>
                <w:noProof/>
                <w:color w:val="524B48"/>
                <w:sz w:val="21"/>
                <w:szCs w:val="21"/>
              </w:rPr>
              <w:t>Rerun:</w:t>
            </w:r>
          </w:p>
        </w:tc>
        <w:tc>
          <w:tcPr>
            <w:tcW w:w="2545" w:type="dxa"/>
            <w:tcBorders>
              <w:top w:val="single" w:sz="12" w:space="0" w:color="F0EBE1"/>
              <w:bottom w:val="nil"/>
              <w:right w:val="nil"/>
            </w:tcBorders>
            <w:shd w:val="clear" w:color="auto" w:fill="FFFFFF"/>
            <w:vAlign w:val="center"/>
          </w:tcPr>
          <w:p w:rsidR="00405788" w:rsidRPr="00A04A1F"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1"/>
                <w:szCs w:val="21"/>
              </w:rPr>
            </w:pPr>
            <w:r w:rsidRPr="00A04A1F">
              <w:rPr>
                <w:rFonts w:ascii="Arial" w:eastAsia="Times New Roman" w:hAnsi="Arial" w:cs="Arial"/>
                <w:b/>
                <w:noProof/>
                <w:color w:val="6C6361"/>
                <w:sz w:val="21"/>
                <w:szCs w:val="21"/>
              </w:rPr>
              <w:t xml:space="preserve">Please </w:t>
            </w:r>
            <w:hyperlink r:id="rId11" w:history="1">
              <w:r w:rsidRPr="00A04A1F">
                <w:rPr>
                  <w:rStyle w:val="Hyperlink"/>
                  <w:rFonts w:ascii="Arial" w:eastAsia="Times New Roman" w:hAnsi="Arial" w:cs="Arial"/>
                  <w:b/>
                  <w:noProof/>
                  <w:color w:val="6C6361"/>
                  <w:sz w:val="21"/>
                  <w:szCs w:val="21"/>
                  <w:u w:val="none"/>
                </w:rPr>
                <w:t>Contact Us</w:t>
              </w:r>
            </w:hyperlink>
          </w:p>
          <w:p w:rsidR="00405788" w:rsidRPr="00A04A1F" w:rsidRDefault="00405788"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1"/>
                <w:szCs w:val="21"/>
              </w:rPr>
            </w:pPr>
            <w:r w:rsidRPr="00A04A1F">
              <w:rPr>
                <w:rFonts w:ascii="Arial" w:eastAsia="Times New Roman" w:hAnsi="Arial" w:cs="Arial"/>
                <w:b/>
                <w:noProof/>
                <w:color w:val="6C6361"/>
                <w:sz w:val="21"/>
                <w:szCs w:val="21"/>
              </w:rPr>
              <w:t>for Details</w:t>
            </w:r>
          </w:p>
        </w:tc>
        <w:tc>
          <w:tcPr>
            <w:tcW w:w="1274" w:type="dxa"/>
            <w:tcBorders>
              <w:top w:val="single" w:sz="12" w:space="0" w:color="F0EBE1"/>
              <w:left w:val="nil"/>
              <w:bottom w:val="nil"/>
              <w:right w:val="nil"/>
            </w:tcBorders>
            <w:shd w:val="clear" w:color="auto" w:fill="FFFFFF"/>
            <w:vAlign w:val="center"/>
          </w:tcPr>
          <w:p w:rsidR="00405788" w:rsidRPr="00156567" w:rsidRDefault="00AD60CD" w:rsidP="00B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extent cx="647700" cy="647700"/>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405788" w:rsidRDefault="00214BC6" w:rsidP="00405788">
      <w:pPr>
        <w:rPr>
          <w:sz w:val="2"/>
          <w:szCs w:val="2"/>
        </w:rPr>
      </w:pPr>
    </w:p>
    <w:sectPr w:rsidR="00214BC6" w:rsidRPr="00405788"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421" w:rsidRDefault="000E4421" w:rsidP="00546556">
      <w:r>
        <w:separator/>
      </w:r>
    </w:p>
  </w:endnote>
  <w:endnote w:type="continuationSeparator" w:id="0">
    <w:p w:rsidR="000E4421" w:rsidRDefault="000E442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AD60CD" w:rsidP="000F34E0">
    <w:pPr>
      <w:jc w:val="center"/>
      <w:rPr>
        <w:sz w:val="19"/>
        <w:szCs w:val="19"/>
      </w:rPr>
    </w:pPr>
    <w:r>
      <w:rPr>
        <w:noProof/>
      </w:rPr>
      <mc:AlternateContent>
        <mc:Choice Requires="wpc">
          <w:drawing>
            <wp:inline distT="0" distB="0" distL="0" distR="0">
              <wp:extent cx="5396230" cy="590550"/>
              <wp:effectExtent l="0" t="0" r="0" b="0"/>
              <wp:docPr id="49" name="Canvas 680" descr="The Profectional Company Limited"/>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3F52CFEB"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421" w:rsidRDefault="000E4421" w:rsidP="00546556">
      <w:r>
        <w:separator/>
      </w:r>
    </w:p>
  </w:footnote>
  <w:footnote w:type="continuationSeparator" w:id="0">
    <w:p w:rsidR="000E4421" w:rsidRDefault="000E442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AD60CD">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0" b="0"/>
              <wp:wrapNone/>
              <wp:docPr id="4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13BBD"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5nSbiRsAhgr3WVDMDePUPjP6jtPIOBonJNP34AqBdtLm8iyH2SRIucqZKJCrotcx++PqwJjN48lI7v7wnsyNIg==" w:salt="em2wyyAX0HDIXNLmCMXJT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421"/>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88"/>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60CD"/>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8FB"/>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0BD9BCCA-28AB-4C3A-B45E-30D5D3F5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6163E-5118-49FC-8F3F-4F77B1E8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Family Law - Jurisdictional and Financial Implications in International Cases</vt:lpstr>
    </vt:vector>
  </TitlesOfParts>
  <Manager>Tyrone Tsang</Manager>
  <Company>The Profectional Company Limited</Company>
  <LinksUpToDate>false</LinksUpToDate>
  <CharactersWithSpaces>4271</CharactersWithSpaces>
  <SharedDoc>false</SharedDoc>
  <HyperlinkBase>http://download.profectional.com/events/EVT000000040.doc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Family Law - Jurisdictional and Financial Implications in International Cases</dc:title>
  <dc:subject>CPD Course: Family Law - Jurisdictional and Financial Implications in International Cases</dc:subject>
  <dc:creator>The Profectional Company Limited</dc:creator>
  <cp:keywords>Profectional; CPD; CPT; CLE; CE; RME; Caroline Langley; Barrister-at-Law; Attorney-at-Law; Mediator; Trinity Chambers; NITA Certified Trainer; Fellow, International Academy of Matrimonial Lawyers; Co-Chair; ABA International Section Family Committee; Executive Committee Member; Hong Kong Family Law Association; Chair; ABA Hong Kong City Chapter</cp:keywords>
  <cp:lastModifiedBy>Tyrone Tsang</cp:lastModifiedBy>
  <cp:revision>2</cp:revision>
  <cp:lastPrinted>2014-10-16T01:46:00Z</cp:lastPrinted>
  <dcterms:created xsi:type="dcterms:W3CDTF">2015-03-06T08:46:00Z</dcterms:created>
  <dcterms:modified xsi:type="dcterms:W3CDTF">2015-03-06T08:46:00Z</dcterms:modified>
</cp:coreProperties>
</file>