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B3A" w:rsidRPr="00935B3A" w:rsidRDefault="00935B3A" w:rsidP="00935B3A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935B3A" w:rsidRPr="00523A64" w:rsidTr="001C051C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935B3A" w:rsidRPr="005455CF" w:rsidRDefault="00935B3A" w:rsidP="001C051C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935B3A" w:rsidRPr="00B8559C" w:rsidRDefault="00935B3A" w:rsidP="001C051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"http://cpd.hk/evt000000046/"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 w:rsidRPr="00B8559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M&amp;A in China</w:t>
            </w:r>
          </w:p>
          <w:p w:rsidR="00935B3A" w:rsidRPr="00B8559C" w:rsidRDefault="00935B3A" w:rsidP="001C051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- Legal Basics</w:t>
            </w:r>
          </w:p>
          <w:p w:rsidR="00935B3A" w:rsidRPr="00B8559C" w:rsidRDefault="00935B3A" w:rsidP="001C051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and</w:t>
            </w:r>
          </w:p>
          <w:p w:rsidR="00935B3A" w:rsidRPr="00B8559C" w:rsidRDefault="00935B3A" w:rsidP="001C051C">
            <w:pPr>
              <w:jc w:val="center"/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pPr>
            <w:r w:rsidRPr="00B8559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Latest Developments</w: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935B3A" w:rsidRPr="00510FE2" w:rsidRDefault="00935B3A" w:rsidP="001C051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935B3A" w:rsidRPr="009D67FA" w:rsidRDefault="00935B3A" w:rsidP="001C051C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9D67FA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935B3A" w:rsidRPr="00B8559C" w:rsidRDefault="00935B3A" w:rsidP="001C051C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AC7DF6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Prof. Lutz-Christian Wolff</w:t>
              </w:r>
            </w:hyperlink>
            <w:r w:rsidRPr="00B8559C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935B3A" w:rsidRDefault="00935B3A" w:rsidP="001C051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Wei Lun Professor of </w:t>
            </w:r>
            <w:r w:rsidRPr="00B8559C">
              <w:rPr>
                <w:rFonts w:ascii="Arial" w:hAnsi="Arial" w:cs="Arial"/>
                <w:color w:val="6C6361"/>
                <w:sz w:val="24"/>
                <w:szCs w:val="24"/>
              </w:rPr>
              <w:t>Law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935B3A" w:rsidRDefault="00935B3A" w:rsidP="001C051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Dean, Graduate School,</w:t>
            </w:r>
          </w:p>
          <w:p w:rsidR="00935B3A" w:rsidRDefault="00935B3A" w:rsidP="001C051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The Chinese University of Hong Kong</w:t>
            </w:r>
          </w:p>
          <w:p w:rsidR="00935B3A" w:rsidRPr="005455CF" w:rsidRDefault="00935B3A" w:rsidP="001C051C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935B3A" w:rsidRPr="00D50772" w:rsidRDefault="00935B3A" w:rsidP="001C051C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911D2A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6FDBD46" wp14:editId="1F52D32A">
                  <wp:simplePos x="0" y="0"/>
                  <wp:positionH relativeFrom="page">
                    <wp:posOffset>3240405</wp:posOffset>
                  </wp:positionH>
                  <wp:positionV relativeFrom="page">
                    <wp:posOffset>-128270</wp:posOffset>
                  </wp:positionV>
                  <wp:extent cx="540000" cy="550800"/>
                  <wp:effectExtent l="0" t="0" r="0" b="0"/>
                  <wp:wrapNone/>
                  <wp:docPr id="13" name="Picture 1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477BB698" wp14:editId="7018B1DE">
                  <wp:extent cx="3657600" cy="1828800"/>
                  <wp:effectExtent l="0" t="0" r="0" b="0"/>
                  <wp:docPr id="8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5B3A" w:rsidRPr="0006621E" w:rsidRDefault="00935B3A" w:rsidP="00935B3A">
      <w:pPr>
        <w:spacing w:line="276" w:lineRule="auto"/>
        <w:jc w:val="left"/>
        <w:rPr>
          <w:rFonts w:ascii="Arial" w:hAnsi="Arial" w:cs="Arial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935B3A" w:rsidRPr="007A44EC" w:rsidTr="001C051C">
        <w:trPr>
          <w:trHeight w:val="2552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935B3A" w:rsidRPr="007A44EC" w:rsidRDefault="00935B3A" w:rsidP="001C051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A44EC">
              <w:rPr>
                <w:rFonts w:ascii="Arial" w:hAnsi="Arial" w:cs="Arial"/>
                <w:noProof/>
              </w:rPr>
              <w:drawing>
                <wp:inline distT="0" distB="0" distL="0" distR="0" wp14:anchorId="7E6C8AE1" wp14:editId="2518D60C">
                  <wp:extent cx="1078705" cy="1438273"/>
                  <wp:effectExtent l="0" t="0" r="0" b="0"/>
                  <wp:docPr id="9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05" cy="1438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935B3A" w:rsidRPr="002343EF" w:rsidRDefault="00935B3A" w:rsidP="001C051C">
            <w:pPr>
              <w:spacing w:line="276" w:lineRule="auto"/>
              <w:rPr>
                <w:rFonts w:ascii="Arial" w:hAnsi="Arial" w:cs="Arial"/>
                <w:color w:val="6C6361"/>
              </w:rPr>
            </w:pPr>
            <w:r w:rsidRPr="002343EF">
              <w:rPr>
                <w:rFonts w:ascii="Arial" w:hAnsi="Arial" w:cs="Arial"/>
                <w:color w:val="6C6361"/>
              </w:rPr>
              <w:t>Professor Lutz-Christian Wolff is a Wei Lun Professor of Law and the Dean of the Graduate School of The Chinese University of Hong Kong.  He has studied, worked and conducted research in a number of jurisdictions, including mainland China, Taiwan, and the USA.  He is admitted to practice in England &amp; Wales and in Germany and has been frequently invited to work with law firms and multi-national companies on investment projects in the Greater China region.</w:t>
            </w:r>
          </w:p>
        </w:tc>
      </w:tr>
    </w:tbl>
    <w:p w:rsidR="00935B3A" w:rsidRPr="0006621E" w:rsidRDefault="00935B3A" w:rsidP="00935B3A">
      <w:pPr>
        <w:spacing w:line="276" w:lineRule="auto"/>
        <w:jc w:val="left"/>
        <w:rPr>
          <w:rFonts w:ascii="Arial" w:hAnsi="Arial" w:cs="Arial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9152"/>
        <w:gridCol w:w="1621"/>
      </w:tblGrid>
      <w:tr w:rsidR="00935B3A" w:rsidRPr="002343EF" w:rsidTr="001C051C">
        <w:trPr>
          <w:trHeight w:val="737"/>
          <w:jc w:val="center"/>
        </w:trPr>
        <w:tc>
          <w:tcPr>
            <w:tcW w:w="10773" w:type="dxa"/>
            <w:gridSpan w:val="2"/>
            <w:shd w:val="clear" w:color="auto" w:fill="FFFFFF" w:themeFill="background1"/>
            <w:vAlign w:val="center"/>
          </w:tcPr>
          <w:p w:rsidR="00935B3A" w:rsidRPr="002343EF" w:rsidRDefault="00935B3A" w:rsidP="001C051C">
            <w:pPr>
              <w:spacing w:line="276" w:lineRule="auto"/>
              <w:rPr>
                <w:rFonts w:ascii="Arial" w:eastAsia="Times New Roman" w:hAnsi="Arial" w:cs="Arial"/>
                <w:color w:val="6C6361"/>
              </w:rPr>
            </w:pPr>
            <w:r w:rsidRPr="002343EF">
              <w:rPr>
                <w:rFonts w:ascii="Arial" w:eastAsia="Times New Roman" w:hAnsi="Arial" w:cs="Arial"/>
                <w:color w:val="6C6361"/>
              </w:rPr>
              <w:t>This seminar will introduce the legal framework governing M&amp;A transactions in mainland China with a focus on those rules which apply to foreign inbound investment projects conducted via the M&amp;A mode.</w:t>
            </w:r>
          </w:p>
        </w:tc>
      </w:tr>
      <w:tr w:rsidR="00935B3A" w:rsidRPr="002343EF" w:rsidTr="001C051C">
        <w:trPr>
          <w:trHeight w:val="454"/>
          <w:jc w:val="center"/>
        </w:trPr>
        <w:tc>
          <w:tcPr>
            <w:tcW w:w="10773" w:type="dxa"/>
            <w:gridSpan w:val="2"/>
            <w:tcBorders>
              <w:top w:val="nil"/>
            </w:tcBorders>
            <w:shd w:val="clear" w:color="auto" w:fill="F0EBE1"/>
            <w:vAlign w:val="center"/>
          </w:tcPr>
          <w:p w:rsidR="00935B3A" w:rsidRPr="002343EF" w:rsidRDefault="00935B3A" w:rsidP="001C051C">
            <w:pPr>
              <w:spacing w:line="276" w:lineRule="auto"/>
              <w:jc w:val="left"/>
              <w:rPr>
                <w:rFonts w:ascii="Arial" w:hAnsi="Arial" w:cs="Arial"/>
                <w:b/>
                <w:color w:val="524B48"/>
              </w:rPr>
            </w:pPr>
            <w:r w:rsidRPr="002343EF">
              <w:rPr>
                <w:rFonts w:ascii="Arial" w:hAnsi="Arial" w:cs="Arial"/>
                <w:b/>
                <w:color w:val="524B48"/>
              </w:rPr>
              <w:t>Topics addressed will be:</w:t>
            </w:r>
          </w:p>
        </w:tc>
      </w:tr>
      <w:tr w:rsidR="00935B3A" w:rsidRPr="002343EF" w:rsidTr="001C051C">
        <w:trPr>
          <w:trHeight w:val="2561"/>
          <w:jc w:val="center"/>
        </w:trPr>
        <w:tc>
          <w:tcPr>
            <w:tcW w:w="9215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:rsidR="00935B3A" w:rsidRPr="002343EF" w:rsidRDefault="00935B3A" w:rsidP="001C051C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</w:rPr>
            </w:pPr>
            <w:r w:rsidRPr="002343EF">
              <w:rPr>
                <w:rFonts w:ascii="Arial" w:hAnsi="Arial" w:cs="Arial"/>
                <w:color w:val="6C6361"/>
              </w:rPr>
              <w:t>Governing law</w:t>
            </w:r>
          </w:p>
          <w:p w:rsidR="00935B3A" w:rsidRPr="002343EF" w:rsidRDefault="00935B3A" w:rsidP="001C051C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</w:rPr>
            </w:pPr>
            <w:r w:rsidRPr="002343EF">
              <w:rPr>
                <w:rFonts w:ascii="Arial" w:hAnsi="Arial" w:cs="Arial"/>
                <w:color w:val="6C6361"/>
              </w:rPr>
              <w:t>Due diligence</w:t>
            </w:r>
          </w:p>
          <w:p w:rsidR="00935B3A" w:rsidRPr="002343EF" w:rsidRDefault="00935B3A" w:rsidP="001C051C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</w:rPr>
            </w:pPr>
            <w:r w:rsidRPr="002343EF">
              <w:rPr>
                <w:rFonts w:ascii="Arial" w:hAnsi="Arial" w:cs="Arial"/>
                <w:color w:val="6C6361"/>
              </w:rPr>
              <w:t>Acquisition of FIE equity interest</w:t>
            </w:r>
          </w:p>
          <w:p w:rsidR="00935B3A" w:rsidRPr="002343EF" w:rsidRDefault="00935B3A" w:rsidP="001C051C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</w:rPr>
            </w:pPr>
            <w:r w:rsidRPr="002343EF">
              <w:rPr>
                <w:rFonts w:ascii="Arial" w:hAnsi="Arial" w:cs="Arial"/>
                <w:color w:val="6C6361"/>
              </w:rPr>
              <w:t>Acquisition of purely domestic entities by foreign investors</w:t>
            </w:r>
          </w:p>
          <w:p w:rsidR="00935B3A" w:rsidRPr="002343EF" w:rsidRDefault="00935B3A" w:rsidP="001C051C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</w:rPr>
            </w:pPr>
            <w:r w:rsidRPr="002343EF">
              <w:rPr>
                <w:rFonts w:ascii="Arial" w:hAnsi="Arial" w:cs="Arial"/>
                <w:color w:val="6C6361"/>
              </w:rPr>
              <w:t>Asset deals</w:t>
            </w:r>
          </w:p>
          <w:p w:rsidR="00935B3A" w:rsidRPr="002343EF" w:rsidRDefault="00935B3A" w:rsidP="001C051C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</w:rPr>
            </w:pPr>
            <w:r w:rsidRPr="002343EF">
              <w:rPr>
                <w:rFonts w:ascii="Arial" w:hAnsi="Arial" w:cs="Arial"/>
                <w:color w:val="6C6361"/>
              </w:rPr>
              <w:t>Sector-specific special rules</w:t>
            </w:r>
          </w:p>
          <w:p w:rsidR="00935B3A" w:rsidRPr="002343EF" w:rsidRDefault="00935B3A" w:rsidP="001C051C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</w:rPr>
            </w:pPr>
            <w:r w:rsidRPr="002343EF">
              <w:rPr>
                <w:rFonts w:ascii="Arial" w:hAnsi="Arial" w:cs="Arial"/>
                <w:color w:val="6C6361"/>
              </w:rPr>
              <w:t>Labor issues</w:t>
            </w:r>
          </w:p>
          <w:p w:rsidR="00935B3A" w:rsidRPr="002343EF" w:rsidRDefault="00935B3A" w:rsidP="001C051C">
            <w:pPr>
              <w:pStyle w:val="ListParagraph"/>
              <w:numPr>
                <w:ilvl w:val="0"/>
                <w:numId w:val="2"/>
              </w:numPr>
              <w:spacing w:line="276" w:lineRule="auto"/>
              <w:jc w:val="left"/>
              <w:rPr>
                <w:rFonts w:ascii="Arial" w:hAnsi="Arial" w:cs="Arial"/>
                <w:color w:val="6C6361"/>
              </w:rPr>
            </w:pPr>
            <w:r w:rsidRPr="002343EF">
              <w:rPr>
                <w:rFonts w:ascii="Arial" w:hAnsi="Arial" w:cs="Arial"/>
                <w:color w:val="6C6361"/>
              </w:rPr>
              <w:t>Merger control and state security check</w:t>
            </w:r>
          </w:p>
        </w:tc>
        <w:tc>
          <w:tcPr>
            <w:tcW w:w="1558" w:type="dxa"/>
            <w:tcBorders>
              <w:left w:val="nil"/>
              <w:bottom w:val="nil"/>
            </w:tcBorders>
            <w:shd w:val="clear" w:color="auto" w:fill="FFFFFF"/>
            <w:vAlign w:val="bottom"/>
          </w:tcPr>
          <w:p w:rsidR="00935B3A" w:rsidRDefault="00935B3A" w:rsidP="001C051C">
            <w:pPr>
              <w:spacing w:line="276" w:lineRule="auto"/>
              <w:jc w:val="right"/>
              <w:rPr>
                <w:rFonts w:ascii="Arial" w:hAnsi="Arial" w:cs="Arial"/>
                <w:color w:val="6C6361"/>
              </w:rPr>
            </w:pPr>
            <w:r w:rsidRPr="009337BB">
              <w:rPr>
                <w:rFonts w:ascii="Arial" w:hAnsi="Arial" w:cs="Arial"/>
                <w:noProof/>
                <w:color w:val="6C6361"/>
              </w:rPr>
              <w:drawing>
                <wp:inline distT="0" distB="0" distL="0" distR="0" wp14:anchorId="44D84B06" wp14:editId="38C2F5A7">
                  <wp:extent cx="892800" cy="1018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0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B3A" w:rsidRPr="009337BB" w:rsidRDefault="00935B3A" w:rsidP="001C051C">
            <w:pPr>
              <w:spacing w:line="276" w:lineRule="auto"/>
              <w:jc w:val="right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</w:tr>
    </w:tbl>
    <w:p w:rsidR="00935B3A" w:rsidRPr="0006621E" w:rsidRDefault="00935B3A" w:rsidP="00935B3A">
      <w:pPr>
        <w:spacing w:line="276" w:lineRule="auto"/>
        <w:rPr>
          <w:rFonts w:ascii="Arial" w:hAnsi="Arial" w:cs="Arial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935B3A" w:rsidRPr="005A2F25" w:rsidTr="001C051C">
        <w:trPr>
          <w:trHeight w:val="454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935B3A" w:rsidRPr="002343EF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2343E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935B3A" w:rsidRPr="002343EF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2343EF"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EVT000000046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935B3A" w:rsidRPr="002343EF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2343E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935B3A" w:rsidRPr="002343EF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2343E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935B3A" w:rsidRPr="005A2F25" w:rsidTr="001C051C">
        <w:trPr>
          <w:trHeight w:val="45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935B3A" w:rsidRPr="002343EF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2343E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935B3A" w:rsidRPr="00482956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482956">
              <w:rPr>
                <w:rFonts w:ascii="Arial" w:hAnsi="Arial" w:cs="Arial"/>
                <w:b/>
                <w:color w:val="6C6361"/>
                <w:sz w:val="20"/>
                <w:szCs w:val="20"/>
              </w:rPr>
              <w:t>23 January 2015 (Friday)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935B3A" w:rsidRPr="002343EF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2343E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935B3A" w:rsidRPr="002343EF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2343E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935B3A" w:rsidRPr="005A2F25" w:rsidTr="001C051C">
        <w:trPr>
          <w:trHeight w:val="45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935B3A" w:rsidRPr="002343EF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2343E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935B3A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2343EF"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14:30 - 17:45</w:t>
            </w:r>
          </w:p>
          <w:p w:rsidR="00935B3A" w:rsidRPr="00EC7ADB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EC7ADB">
              <w:rPr>
                <w:rFonts w:ascii="Arial" w:hAnsi="Arial" w:cs="Arial"/>
                <w:color w:val="6C6361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R</w:t>
            </w:r>
            <w:r w:rsidRPr="00EC7ADB">
              <w:rPr>
                <w:rFonts w:ascii="Arial" w:hAnsi="Arial" w:cs="Arial"/>
                <w:color w:val="6C6361"/>
                <w:sz w:val="20"/>
                <w:szCs w:val="20"/>
              </w:rPr>
              <w:t>eception starts at 14:00)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935B3A" w:rsidRPr="002343EF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2343E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935B3A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2343E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2343EF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935B3A" w:rsidRPr="004D0ECA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4D0ECA">
              <w:rPr>
                <w:rFonts w:ascii="Arial" w:hAnsi="Arial" w:cs="Arial"/>
                <w:color w:val="6C6361"/>
                <w:sz w:val="20"/>
                <w:szCs w:val="20"/>
              </w:rPr>
              <w:t xml:space="preserve">(LSHK Allocated Number: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20144266</w:t>
            </w:r>
            <w:r w:rsidRPr="004D0ECA">
              <w:rPr>
                <w:rFonts w:ascii="Arial" w:hAnsi="Arial" w:cs="Arial"/>
                <w:color w:val="6C6361"/>
                <w:sz w:val="20"/>
                <w:szCs w:val="20"/>
              </w:rPr>
              <w:t>)</w:t>
            </w:r>
          </w:p>
          <w:p w:rsidR="00935B3A" w:rsidRPr="002343EF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2343EF"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935B3A" w:rsidRPr="005A2F25" w:rsidTr="001C051C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935B3A" w:rsidRPr="002343EF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2343E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935B3A" w:rsidRPr="00482956" w:rsidRDefault="00935B3A" w:rsidP="001C051C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482956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482956">
              <w:rPr>
                <w:rFonts w:ascii="Arial" w:hAnsi="Arial" w:cs="Arial"/>
                <w:b/>
                <w:color w:val="6C6361"/>
                <w:sz w:val="20"/>
                <w:szCs w:val="20"/>
              </w:rPr>
            </w:r>
            <w:r w:rsidRPr="00482956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482956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935B3A" w:rsidRPr="00F36D9A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F36D9A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935B3A" w:rsidRPr="00F36D9A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F36D9A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935B3A" w:rsidRPr="002343EF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F36D9A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482956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935B3A" w:rsidRPr="00334CAE" w:rsidRDefault="00935B3A" w:rsidP="001C051C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  <w:r w:rsidRPr="00334CAE">
              <w:rPr>
                <w:rFonts w:ascii="Arial" w:hAnsi="Arial" w:cs="Arial"/>
                <w:b/>
                <w:noProof/>
                <w:color w:val="6C6361"/>
                <w:sz w:val="12"/>
                <w:szCs w:val="12"/>
              </w:rPr>
              <w:drawing>
                <wp:inline distT="0" distB="0" distL="0" distR="0" wp14:anchorId="2A56E4A8" wp14:editId="628EC477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B3A" w:rsidRPr="00334CAE" w:rsidRDefault="00935B3A" w:rsidP="001C051C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935B3A" w:rsidRPr="009553A1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18"/>
              </w:rPr>
            </w:pPr>
            <w:r w:rsidRPr="009553A1">
              <w:rPr>
                <w:rFonts w:ascii="Arial" w:eastAsia="Times New Roman" w:hAnsi="Arial" w:cs="Arial"/>
                <w:noProof/>
                <w:color w:val="524B48"/>
                <w:sz w:val="20"/>
                <w:szCs w:val="18"/>
              </w:rPr>
              <w:t>Request for</w:t>
            </w:r>
          </w:p>
          <w:p w:rsidR="00935B3A" w:rsidRPr="009553A1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18"/>
              </w:rPr>
            </w:pPr>
            <w:r w:rsidRPr="009553A1">
              <w:rPr>
                <w:rFonts w:ascii="Arial" w:eastAsia="Times New Roman" w:hAnsi="Arial" w:cs="Arial"/>
                <w:noProof/>
                <w:color w:val="524B48"/>
                <w:sz w:val="20"/>
                <w:szCs w:val="18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935B3A" w:rsidRPr="009553A1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9553A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18"/>
              </w:rPr>
              <w:t xml:space="preserve">Please </w:t>
            </w:r>
            <w:hyperlink r:id="rId16" w:history="1">
              <w:r w:rsidRPr="009553A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18"/>
                  <w:u w:val="none"/>
                </w:rPr>
                <w:t>Contact Us</w:t>
              </w:r>
            </w:hyperlink>
          </w:p>
          <w:p w:rsidR="00935B3A" w:rsidRPr="009553A1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9553A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18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35B3A" w:rsidRPr="00156567" w:rsidRDefault="00935B3A" w:rsidP="001C0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1A13F55B" wp14:editId="0AB85BA9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935B3A" w:rsidRDefault="00214BC6" w:rsidP="00935B3A"/>
    <w:sectPr w:rsidR="00214BC6" w:rsidRPr="00935B3A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39E" w:rsidRDefault="0000439E" w:rsidP="00546556">
      <w:r>
        <w:separator/>
      </w:r>
    </w:p>
  </w:endnote>
  <w:endnote w:type="continuationSeparator" w:id="0">
    <w:p w:rsidR="0000439E" w:rsidRDefault="0000439E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39E" w:rsidRDefault="0000439E" w:rsidP="00546556">
      <w:r>
        <w:separator/>
      </w:r>
    </w:p>
  </w:footnote>
  <w:footnote w:type="continuationSeparator" w:id="0">
    <w:p w:rsidR="0000439E" w:rsidRDefault="0000439E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documentProtection w:edit="forms" w:enforcement="1" w:cryptProviderType="rsaAES" w:cryptAlgorithmClass="hash" w:cryptAlgorithmType="typeAny" w:cryptAlgorithmSid="14" w:cryptSpinCount="100000" w:hash="+gGeMg32jXJOG+mXYMUGN0kUUFoGXiHYeMPShrovU3D7BwsYX5MNnWvwxGuZY+hKnA23Ad2VRzBaLp6r2UOM9w==" w:salt="OdaIdj3YBAQ5QNBB2HLRuQ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534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046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7C608-CA98-49D9-8C4B-2A8B2BD37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Police Power &amp; Voir Dire</vt:lpstr>
    </vt:vector>
  </TitlesOfParts>
  <Manager>Tyrone Tsang</Manager>
  <Company>The Profectional Company Limited</Company>
  <LinksUpToDate>false</LinksUpToDate>
  <CharactersWithSpaces>1676</CharactersWithSpaces>
  <SharedDoc>false</SharedDoc>
  <HyperlinkBase>http://download.profectional.com/events/EVT000000046.docx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M&amp;A in China - Legal Basics and Latest Developments</dc:title>
  <dc:subject>CPD Course, CPT Course: M&amp;A in China - Legal Basics and Latest Developments</dc:subject>
  <dc:creator>The Profectional Company Limited</dc:creator>
  <cp:keywords>Profectional; Kornerstone; CPD; CPT; CLE; CE; RME; Lutz-Christian Wolff; Wei Lun Professor of Law; Dean; Graduate School; The Chinese University of Hong Kong</cp:keywords>
  <cp:lastModifiedBy>Tyrone Tsang</cp:lastModifiedBy>
  <cp:revision>2</cp:revision>
  <cp:lastPrinted>2014-10-16T01:46:00Z</cp:lastPrinted>
  <dcterms:created xsi:type="dcterms:W3CDTF">2015-01-21T17:25:00Z</dcterms:created>
  <dcterms:modified xsi:type="dcterms:W3CDTF">2015-01-21T17:25:00Z</dcterms:modified>
</cp:coreProperties>
</file>