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B9F" w:rsidRPr="00B15B9F" w:rsidRDefault="00B15B9F" w:rsidP="00B15B9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15B9F" w:rsidRPr="00523A64" w:rsidTr="00B95FF5">
        <w:trPr>
          <w:trHeight w:val="3119"/>
          <w:jc w:val="center"/>
        </w:trPr>
        <w:tc>
          <w:tcPr>
            <w:tcW w:w="4820" w:type="dxa"/>
            <w:shd w:val="clear" w:color="auto" w:fill="FFFFFF"/>
            <w:vAlign w:val="center"/>
          </w:tcPr>
          <w:p w:rsidR="00B15B9F" w:rsidRPr="001A3018" w:rsidRDefault="00B15B9F" w:rsidP="00B95FF5">
            <w:pPr>
              <w:jc w:val="center"/>
              <w:rPr>
                <w:rFonts w:ascii="Arial" w:hAnsi="Arial" w:cs="Arial"/>
                <w:b/>
                <w:bCs/>
                <w:color w:val="524B48"/>
                <w:sz w:val="4"/>
                <w:szCs w:val="4"/>
              </w:rPr>
            </w:pPr>
          </w:p>
          <w:p w:rsidR="00B15B9F" w:rsidRDefault="00B15B9F" w:rsidP="00B95FF5">
            <w:pPr>
              <w:jc w:val="center"/>
              <w:rPr>
                <w:rFonts w:ascii="Arial" w:hAnsi="Arial" w:cs="Arial"/>
                <w:b/>
                <w:bCs/>
                <w:color w:val="524B48"/>
                <w:sz w:val="32"/>
                <w:szCs w:val="32"/>
              </w:rPr>
            </w:pPr>
            <w:hyperlink r:id="rId8" w:history="1">
              <w:r>
                <w:rPr>
                  <w:rStyle w:val="Hyperlink"/>
                  <w:rFonts w:ascii="Arial" w:hAnsi="Arial" w:cs="Arial"/>
                  <w:b/>
                  <w:bCs/>
                  <w:color w:val="524B48"/>
                  <w:sz w:val="32"/>
                  <w:szCs w:val="32"/>
                  <w:u w:val="none"/>
                </w:rPr>
                <w:t>Land Valuation</w:t>
              </w:r>
            </w:hyperlink>
          </w:p>
          <w:p w:rsidR="00B15B9F" w:rsidRPr="00C65AFD" w:rsidRDefault="00B15B9F" w:rsidP="00B95FF5">
            <w:pPr>
              <w:jc w:val="center"/>
              <w:rPr>
                <w:rFonts w:ascii="Arial" w:hAnsi="Arial" w:cs="Arial"/>
                <w:b/>
                <w:bCs/>
                <w:sz w:val="24"/>
                <w:szCs w:val="24"/>
              </w:rPr>
            </w:pPr>
          </w:p>
          <w:p w:rsidR="00B15B9F" w:rsidRPr="00C65AFD" w:rsidRDefault="00B15B9F" w:rsidP="00B95FF5">
            <w:pPr>
              <w:jc w:val="center"/>
              <w:rPr>
                <w:rFonts w:ascii="Arial" w:hAnsi="Arial" w:cs="Arial"/>
                <w:i/>
                <w:color w:val="6C6361"/>
                <w:sz w:val="24"/>
                <w:szCs w:val="24"/>
              </w:rPr>
            </w:pPr>
            <w:r w:rsidRPr="00C65AFD">
              <w:rPr>
                <w:rFonts w:ascii="Arial" w:hAnsi="Arial" w:cs="Arial"/>
                <w:i/>
                <w:color w:val="6C6361"/>
                <w:sz w:val="24"/>
                <w:szCs w:val="24"/>
              </w:rPr>
              <w:t>by</w:t>
            </w:r>
          </w:p>
          <w:p w:rsidR="00B15B9F" w:rsidRPr="00C65AFD" w:rsidRDefault="00B15B9F" w:rsidP="00B95FF5">
            <w:pPr>
              <w:jc w:val="center"/>
              <w:rPr>
                <w:rFonts w:ascii="Arial" w:hAnsi="Arial" w:cs="Arial"/>
                <w:color w:val="524B48"/>
                <w:sz w:val="24"/>
                <w:szCs w:val="24"/>
              </w:rPr>
            </w:pPr>
            <w:hyperlink r:id="rId9"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r. Clemence Yeung</w:t>
              </w:r>
            </w:hyperlink>
            <w:r w:rsidRPr="00C65AFD">
              <w:rPr>
                <w:rFonts w:ascii="Arial" w:hAnsi="Arial" w:cs="Arial"/>
                <w:color w:val="524B48"/>
                <w:sz w:val="24"/>
                <w:szCs w:val="24"/>
              </w:rPr>
              <w:t>,</w:t>
            </w:r>
          </w:p>
          <w:p w:rsidR="00B15B9F" w:rsidRPr="00AD645C" w:rsidRDefault="00B15B9F" w:rsidP="00B95FF5">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rsidR="00B15B9F" w:rsidRPr="00D50772" w:rsidRDefault="00B15B9F" w:rsidP="00B95FF5">
            <w:pPr>
              <w:spacing w:line="276" w:lineRule="auto"/>
              <w:jc w:val="center"/>
              <w:rPr>
                <w:rFonts w:ascii="Arial" w:eastAsia="Times New Roman" w:hAnsi="Arial" w:cs="Arial"/>
                <w:noProof/>
                <w:sz w:val="20"/>
                <w:szCs w:val="20"/>
              </w:rPr>
            </w:pPr>
            <w:r w:rsidRPr="004F2C83">
              <w:rPr>
                <w:rFonts w:ascii="Arial" w:hAnsi="Arial" w:cs="Arial"/>
                <w:noProof/>
                <w:color w:val="6C6361"/>
              </w:rPr>
              <w:drawing>
                <wp:anchor distT="0" distB="0" distL="114300" distR="114300" simplePos="0" relativeHeight="251659264" behindDoc="0" locked="0" layoutInCell="1" allowOverlap="1" wp14:anchorId="2B642257" wp14:editId="3B861EB9">
                  <wp:simplePos x="0" y="0"/>
                  <wp:positionH relativeFrom="column">
                    <wp:posOffset>3181350</wp:posOffset>
                  </wp:positionH>
                  <wp:positionV relativeFrom="paragraph">
                    <wp:posOffset>-58420</wp:posOffset>
                  </wp:positionV>
                  <wp:extent cx="539750" cy="546735"/>
                  <wp:effectExtent l="0" t="0" r="0" b="5715"/>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355851D" wp14:editId="22E05E36">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15B9F" w:rsidRPr="00B90951" w:rsidRDefault="00B15B9F" w:rsidP="00B15B9F">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B15B9F" w:rsidRPr="00895F3B" w:rsidTr="00B95FF5">
        <w:trPr>
          <w:trHeight w:val="2571"/>
          <w:jc w:val="center"/>
        </w:trPr>
        <w:tc>
          <w:tcPr>
            <w:tcW w:w="1985" w:type="dxa"/>
            <w:shd w:val="clear" w:color="auto" w:fill="FFFFFF"/>
            <w:vAlign w:val="center"/>
          </w:tcPr>
          <w:p w:rsidR="00B15B9F" w:rsidRPr="00895F3B" w:rsidRDefault="00B15B9F" w:rsidP="00B95FF5">
            <w:pPr>
              <w:spacing w:line="276" w:lineRule="auto"/>
              <w:jc w:val="center"/>
              <w:rPr>
                <w:rFonts w:ascii="Arial" w:hAnsi="Arial" w:cs="Arial"/>
                <w:sz w:val="21"/>
                <w:szCs w:val="21"/>
              </w:rPr>
            </w:pPr>
            <w:r>
              <w:rPr>
                <w:rFonts w:ascii="Arial" w:hAnsi="Arial" w:cs="Arial"/>
                <w:noProof/>
                <w:sz w:val="21"/>
                <w:szCs w:val="21"/>
              </w:rPr>
              <w:drawing>
                <wp:inline distT="0" distB="0" distL="0" distR="0" wp14:anchorId="148B0BB2" wp14:editId="354C697B">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15B9F" w:rsidRPr="005B38D5" w:rsidRDefault="00B15B9F" w:rsidP="00B15B9F">
            <w:pPr>
              <w:pStyle w:val="NormalWeb"/>
              <w:jc w:val="both"/>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practised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Halsbury's Laws of Hong Kong Volume 18(1) </w:t>
            </w:r>
            <w:r>
              <w:rPr>
                <w:rFonts w:ascii="Arial" w:hAnsi="Arial" w:cs="Arial"/>
                <w:color w:val="6C6361"/>
              </w:rPr>
              <w:t xml:space="preserve">Maritime Law (Butterworths)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rsidR="00B15B9F" w:rsidRPr="00B90951" w:rsidRDefault="00B15B9F" w:rsidP="00B15B9F">
      <w:pPr>
        <w:spacing w:line="276" w:lineRule="auto"/>
        <w:jc w:val="left"/>
        <w:rPr>
          <w:rFonts w:ascii="Arial" w:hAnsi="Arial" w:cs="Arial"/>
          <w:sz w:val="18"/>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B15B9F" w:rsidRPr="006F0545" w:rsidTr="00B95FF5">
        <w:trPr>
          <w:trHeight w:val="2710"/>
          <w:jc w:val="center"/>
        </w:trPr>
        <w:tc>
          <w:tcPr>
            <w:tcW w:w="10773" w:type="dxa"/>
            <w:gridSpan w:val="2"/>
            <w:tcBorders>
              <w:bottom w:val="nil"/>
            </w:tcBorders>
            <w:shd w:val="clear" w:color="auto" w:fill="FFFFFF" w:themeFill="background1"/>
            <w:vAlign w:val="center"/>
          </w:tcPr>
          <w:p w:rsidR="00B15B9F" w:rsidRPr="00B90951" w:rsidRDefault="00B15B9F" w:rsidP="00B95FF5">
            <w:pPr>
              <w:spacing w:line="276" w:lineRule="auto"/>
              <w:rPr>
                <w:rFonts w:ascii="Arial" w:hAnsi="Arial" w:cs="Arial"/>
                <w:color w:val="6C6361"/>
                <w:sz w:val="23"/>
                <w:szCs w:val="23"/>
              </w:rPr>
            </w:pPr>
            <w:r w:rsidRPr="00B90951">
              <w:rPr>
                <w:rFonts w:ascii="Arial" w:hAnsi="Arial" w:cs="Arial"/>
                <w:color w:val="6C6361"/>
                <w:sz w:val="23"/>
                <w:szCs w:val="23"/>
              </w:rPr>
              <w:t>This course looks at the three most important practice areas concerning the law governing land valuation, namely land resumption, rating and compulsory sale for redevelopment.  It provides an introduction to the valuation techniques adopted in the case law, before giving (a) a  detailed consideration of Shun Fung Ironworks Limited v Director of Buildings and Lands [1995] 2 HKLR 311, the leading case on land compensation, (b) a review of leading Hong Kong and English cases on rating valuation, including recent case law on the valuation of utilities companies in a rating context and (c) a review of the valuation exercise under the unique regime which enables private developers to acquire land compulsorily when specific criteria are met.</w:t>
            </w:r>
          </w:p>
        </w:tc>
      </w:tr>
      <w:tr w:rsidR="00B15B9F" w:rsidRPr="006F0545" w:rsidTr="00B95FF5">
        <w:trPr>
          <w:trHeight w:val="397"/>
          <w:jc w:val="center"/>
        </w:trPr>
        <w:tc>
          <w:tcPr>
            <w:tcW w:w="10773" w:type="dxa"/>
            <w:gridSpan w:val="2"/>
            <w:tcBorders>
              <w:top w:val="nil"/>
            </w:tcBorders>
            <w:shd w:val="clear" w:color="auto" w:fill="F0EBE1"/>
            <w:vAlign w:val="center"/>
          </w:tcPr>
          <w:p w:rsidR="00B15B9F" w:rsidRPr="00B90951" w:rsidRDefault="00B15B9F" w:rsidP="00B95FF5">
            <w:pPr>
              <w:spacing w:line="276" w:lineRule="auto"/>
              <w:rPr>
                <w:rFonts w:ascii="Arial" w:eastAsia="Times New Roman" w:hAnsi="Arial" w:cs="Arial"/>
                <w:b/>
                <w:color w:val="524B48"/>
                <w:sz w:val="23"/>
                <w:szCs w:val="23"/>
              </w:rPr>
            </w:pPr>
            <w:r w:rsidRPr="00B90951">
              <w:rPr>
                <w:rFonts w:ascii="Arial" w:eastAsia="Times New Roman" w:hAnsi="Arial" w:cs="Arial"/>
                <w:b/>
                <w:color w:val="524B48"/>
                <w:sz w:val="23"/>
                <w:szCs w:val="23"/>
              </w:rPr>
              <w:t>Key Methods of Valuation - An overview of valuation methodology in the case law</w:t>
            </w:r>
          </w:p>
        </w:tc>
      </w:tr>
      <w:tr w:rsidR="00B15B9F" w:rsidRPr="006F0545" w:rsidTr="00B95FF5">
        <w:trPr>
          <w:trHeight w:val="1451"/>
          <w:jc w:val="center"/>
        </w:trPr>
        <w:tc>
          <w:tcPr>
            <w:tcW w:w="5387" w:type="dxa"/>
            <w:tcBorders>
              <w:right w:val="nil"/>
            </w:tcBorders>
            <w:shd w:val="clear" w:color="auto" w:fill="FFFFFF"/>
            <w:vAlign w:val="center"/>
          </w:tcPr>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Valuation by comparables</w:t>
            </w:r>
          </w:p>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The residual method</w:t>
            </w:r>
          </w:p>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The investment method</w:t>
            </w:r>
          </w:p>
          <w:p w:rsidR="00B15B9F" w:rsidRPr="00B90951" w:rsidRDefault="00B15B9F" w:rsidP="00B95FF5">
            <w:pPr>
              <w:pStyle w:val="ListParagraph"/>
              <w:numPr>
                <w:ilvl w:val="1"/>
                <w:numId w:val="1"/>
              </w:numPr>
              <w:spacing w:line="276" w:lineRule="auto"/>
              <w:rPr>
                <w:rFonts w:ascii="Arial" w:hAnsi="Arial" w:cs="Arial"/>
                <w:color w:val="6C6361"/>
                <w:sz w:val="23"/>
                <w:szCs w:val="23"/>
              </w:rPr>
            </w:pPr>
            <w:r w:rsidRPr="00B90951">
              <w:rPr>
                <w:rFonts w:ascii="Arial" w:hAnsi="Arial" w:cs="Arial"/>
                <w:color w:val="6C6361"/>
                <w:sz w:val="23"/>
                <w:szCs w:val="23"/>
              </w:rPr>
              <w:t>The traditional approach</w:t>
            </w:r>
          </w:p>
        </w:tc>
        <w:tc>
          <w:tcPr>
            <w:tcW w:w="5386" w:type="dxa"/>
            <w:tcBorders>
              <w:left w:val="nil"/>
              <w:bottom w:val="nil"/>
            </w:tcBorders>
            <w:shd w:val="clear" w:color="auto" w:fill="FFFFFF"/>
            <w:vAlign w:val="center"/>
          </w:tcPr>
          <w:p w:rsidR="00B15B9F" w:rsidRPr="00B90951" w:rsidRDefault="00B15B9F" w:rsidP="00B15B9F">
            <w:pPr>
              <w:pStyle w:val="ListParagraph"/>
              <w:numPr>
                <w:ilvl w:val="1"/>
                <w:numId w:val="16"/>
              </w:numPr>
              <w:spacing w:line="276" w:lineRule="auto"/>
              <w:rPr>
                <w:rFonts w:ascii="Arial" w:hAnsi="Arial" w:cs="Arial"/>
                <w:color w:val="6C6361"/>
                <w:sz w:val="23"/>
                <w:szCs w:val="23"/>
              </w:rPr>
            </w:pPr>
            <w:r w:rsidRPr="00B90951">
              <w:rPr>
                <w:rFonts w:ascii="Arial" w:hAnsi="Arial" w:cs="Arial"/>
                <w:color w:val="6C6361"/>
                <w:sz w:val="23"/>
                <w:szCs w:val="23"/>
              </w:rPr>
              <w:t>The discounted cash flow method</w:t>
            </w:r>
          </w:p>
          <w:p w:rsidR="00B15B9F" w:rsidRPr="00B90951" w:rsidRDefault="00B15B9F" w:rsidP="00B15B9F">
            <w:pPr>
              <w:pStyle w:val="ListParagraph"/>
              <w:numPr>
                <w:ilvl w:val="0"/>
                <w:numId w:val="16"/>
              </w:numPr>
              <w:spacing w:line="276" w:lineRule="auto"/>
              <w:rPr>
                <w:rFonts w:ascii="Arial" w:hAnsi="Arial" w:cs="Arial"/>
                <w:color w:val="6C6361"/>
                <w:sz w:val="23"/>
                <w:szCs w:val="23"/>
              </w:rPr>
            </w:pPr>
            <w:r w:rsidRPr="00B90951">
              <w:rPr>
                <w:rFonts w:ascii="Arial" w:hAnsi="Arial" w:cs="Arial"/>
                <w:color w:val="6C6361"/>
                <w:sz w:val="23"/>
                <w:szCs w:val="23"/>
              </w:rPr>
              <w:t xml:space="preserve">The contractor’s method </w:t>
            </w:r>
          </w:p>
          <w:p w:rsidR="00B15B9F" w:rsidRPr="00B90951" w:rsidRDefault="00B15B9F" w:rsidP="00B15B9F">
            <w:pPr>
              <w:pStyle w:val="ListParagraph"/>
              <w:numPr>
                <w:ilvl w:val="0"/>
                <w:numId w:val="16"/>
              </w:numPr>
              <w:spacing w:line="276" w:lineRule="auto"/>
              <w:rPr>
                <w:rFonts w:ascii="Arial" w:hAnsi="Arial" w:cs="Arial"/>
                <w:color w:val="6C6361"/>
                <w:sz w:val="23"/>
                <w:szCs w:val="23"/>
              </w:rPr>
            </w:pPr>
            <w:r w:rsidRPr="00B90951">
              <w:rPr>
                <w:rFonts w:ascii="Arial" w:hAnsi="Arial" w:cs="Arial"/>
                <w:color w:val="6C6361"/>
                <w:sz w:val="23"/>
                <w:szCs w:val="23"/>
              </w:rPr>
              <w:t>The receipt and expenditure approach</w:t>
            </w:r>
          </w:p>
          <w:p w:rsidR="00B15B9F" w:rsidRPr="00B90951" w:rsidRDefault="00B15B9F" w:rsidP="00B95FF5">
            <w:pPr>
              <w:pStyle w:val="ListParagraph"/>
              <w:spacing w:line="276" w:lineRule="auto"/>
              <w:ind w:left="360"/>
              <w:rPr>
                <w:rFonts w:ascii="Arial" w:hAnsi="Arial" w:cs="Arial"/>
                <w:color w:val="6C6361"/>
                <w:sz w:val="23"/>
                <w:szCs w:val="23"/>
              </w:rPr>
            </w:pPr>
            <w:r w:rsidRPr="00B90951">
              <w:rPr>
                <w:rFonts w:ascii="Arial" w:hAnsi="Arial" w:cs="Arial"/>
                <w:color w:val="6C6361"/>
                <w:sz w:val="23"/>
                <w:szCs w:val="23"/>
              </w:rPr>
              <w:t>(“the profits method”)</w:t>
            </w:r>
          </w:p>
        </w:tc>
      </w:tr>
      <w:tr w:rsidR="00B15B9F" w:rsidRPr="006F0545" w:rsidTr="00B95FF5">
        <w:trPr>
          <w:trHeight w:val="397"/>
          <w:jc w:val="center"/>
        </w:trPr>
        <w:tc>
          <w:tcPr>
            <w:tcW w:w="10773" w:type="dxa"/>
            <w:gridSpan w:val="2"/>
            <w:tcBorders>
              <w:top w:val="nil"/>
              <w:bottom w:val="nil"/>
            </w:tcBorders>
            <w:shd w:val="clear" w:color="auto" w:fill="F0EBE1"/>
            <w:vAlign w:val="center"/>
          </w:tcPr>
          <w:p w:rsidR="00B15B9F" w:rsidRPr="00B90951" w:rsidRDefault="00B15B9F" w:rsidP="00B95FF5">
            <w:pPr>
              <w:spacing w:line="276" w:lineRule="auto"/>
              <w:rPr>
                <w:rFonts w:ascii="Arial" w:hAnsi="Arial" w:cs="Arial"/>
                <w:b/>
                <w:color w:val="524B48"/>
                <w:sz w:val="23"/>
                <w:szCs w:val="23"/>
              </w:rPr>
            </w:pPr>
            <w:r w:rsidRPr="00B90951">
              <w:rPr>
                <w:rFonts w:ascii="Arial" w:hAnsi="Arial" w:cs="Arial"/>
                <w:b/>
                <w:color w:val="524B48"/>
                <w:sz w:val="23"/>
                <w:szCs w:val="23"/>
              </w:rPr>
              <w:t xml:space="preserve">Land Resumption - </w:t>
            </w:r>
            <w:r w:rsidRPr="00B90951">
              <w:rPr>
                <w:rFonts w:ascii="Arial" w:hAnsi="Arial" w:cs="Arial"/>
                <w:b/>
                <w:i/>
                <w:color w:val="524B48"/>
                <w:sz w:val="23"/>
                <w:szCs w:val="23"/>
              </w:rPr>
              <w:t>Shun Fung Ironworks Limited v Director of Buildings and Lands</w:t>
            </w:r>
          </w:p>
        </w:tc>
      </w:tr>
      <w:tr w:rsidR="00B15B9F" w:rsidRPr="006F0545" w:rsidTr="00B95FF5">
        <w:trPr>
          <w:trHeight w:val="1718"/>
          <w:jc w:val="center"/>
        </w:trPr>
        <w:tc>
          <w:tcPr>
            <w:tcW w:w="5387" w:type="dxa"/>
            <w:tcBorders>
              <w:top w:val="nil"/>
              <w:bottom w:val="nil"/>
              <w:right w:val="nil"/>
            </w:tcBorders>
            <w:shd w:val="clear" w:color="auto" w:fill="FFFFFF" w:themeFill="background1"/>
            <w:vAlign w:val="center"/>
          </w:tcPr>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Loss of Profit due to anticipation</w:t>
            </w:r>
          </w:p>
          <w:p w:rsidR="00B15B9F" w:rsidRPr="00B90951" w:rsidRDefault="00B15B9F" w:rsidP="00B95FF5">
            <w:pPr>
              <w:pStyle w:val="ListParagraph"/>
              <w:spacing w:line="276" w:lineRule="auto"/>
              <w:ind w:left="360"/>
              <w:rPr>
                <w:rFonts w:ascii="Arial" w:hAnsi="Arial" w:cs="Arial"/>
                <w:color w:val="6C6361"/>
                <w:sz w:val="23"/>
                <w:szCs w:val="23"/>
              </w:rPr>
            </w:pPr>
            <w:r w:rsidRPr="00B90951">
              <w:rPr>
                <w:rFonts w:ascii="Arial" w:hAnsi="Arial" w:cs="Arial"/>
                <w:color w:val="6C6361"/>
                <w:sz w:val="23"/>
                <w:szCs w:val="23"/>
              </w:rPr>
              <w:t>of resumption</w:t>
            </w:r>
          </w:p>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Extinguishment or relocation</w:t>
            </w:r>
          </w:p>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Capital Asset Pricing Model in Shun Fung</w:t>
            </w:r>
          </w:p>
          <w:p w:rsidR="00B15B9F" w:rsidRPr="00B90951" w:rsidRDefault="00B15B9F" w:rsidP="00B95FF5">
            <w:pPr>
              <w:pStyle w:val="ListParagraph"/>
              <w:spacing w:line="276" w:lineRule="auto"/>
              <w:ind w:left="360"/>
              <w:rPr>
                <w:rFonts w:ascii="Arial" w:hAnsi="Arial" w:cs="Arial"/>
                <w:color w:val="6C6361"/>
                <w:sz w:val="23"/>
                <w:szCs w:val="23"/>
              </w:rPr>
            </w:pPr>
            <w:r w:rsidRPr="00B90951">
              <w:rPr>
                <w:rFonts w:ascii="Arial" w:hAnsi="Arial" w:cs="Arial"/>
                <w:color w:val="6C6361"/>
                <w:sz w:val="23"/>
                <w:szCs w:val="23"/>
              </w:rPr>
              <w:t>and since</w:t>
            </w:r>
          </w:p>
        </w:tc>
        <w:tc>
          <w:tcPr>
            <w:tcW w:w="5386" w:type="dxa"/>
            <w:tcBorders>
              <w:top w:val="nil"/>
              <w:left w:val="nil"/>
              <w:bottom w:val="nil"/>
            </w:tcBorders>
            <w:shd w:val="clear" w:color="auto" w:fill="FFFFFF" w:themeFill="background1"/>
            <w:vAlign w:val="center"/>
          </w:tcPr>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Total beta - recent US literature on capturing</w:t>
            </w:r>
          </w:p>
          <w:p w:rsidR="00B15B9F" w:rsidRPr="00B90951" w:rsidRDefault="00B15B9F" w:rsidP="00B95FF5">
            <w:pPr>
              <w:pStyle w:val="ListParagraph"/>
              <w:spacing w:line="276" w:lineRule="auto"/>
              <w:ind w:left="360"/>
              <w:rPr>
                <w:rFonts w:ascii="Arial" w:hAnsi="Arial" w:cs="Arial"/>
                <w:color w:val="6C6361"/>
                <w:sz w:val="23"/>
                <w:szCs w:val="23"/>
              </w:rPr>
            </w:pPr>
            <w:r w:rsidRPr="00B90951">
              <w:rPr>
                <w:rFonts w:ascii="Arial" w:hAnsi="Arial" w:cs="Arial"/>
                <w:color w:val="6C6361"/>
                <w:sz w:val="23"/>
                <w:szCs w:val="23"/>
              </w:rPr>
              <w:t xml:space="preserve">firm specific risk </w:t>
            </w:r>
          </w:p>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Land value</w:t>
            </w:r>
          </w:p>
          <w:p w:rsidR="00B15B9F" w:rsidRPr="00B90951" w:rsidRDefault="00B15B9F" w:rsidP="00B95FF5">
            <w:pPr>
              <w:pStyle w:val="ListParagraph"/>
              <w:numPr>
                <w:ilvl w:val="0"/>
                <w:numId w:val="1"/>
              </w:numPr>
              <w:spacing w:line="276" w:lineRule="auto"/>
              <w:rPr>
                <w:rFonts w:ascii="Arial" w:hAnsi="Arial" w:cs="Arial"/>
                <w:color w:val="6C6361"/>
                <w:sz w:val="23"/>
                <w:szCs w:val="23"/>
              </w:rPr>
            </w:pPr>
            <w:r w:rsidRPr="00B90951">
              <w:rPr>
                <w:rFonts w:ascii="Arial" w:hAnsi="Arial" w:cs="Arial"/>
                <w:color w:val="6C6361"/>
                <w:sz w:val="23"/>
                <w:szCs w:val="23"/>
              </w:rPr>
              <w:t>Valuation of plant and machinery/loss</w:t>
            </w:r>
          </w:p>
          <w:p w:rsidR="00B15B9F" w:rsidRPr="00B90951" w:rsidRDefault="00B15B9F" w:rsidP="00B95FF5">
            <w:pPr>
              <w:pStyle w:val="ListParagraph"/>
              <w:spacing w:line="276" w:lineRule="auto"/>
              <w:ind w:left="360"/>
              <w:rPr>
                <w:rFonts w:ascii="Arial" w:hAnsi="Arial" w:cs="Arial"/>
                <w:color w:val="6C6361"/>
                <w:sz w:val="23"/>
                <w:szCs w:val="23"/>
              </w:rPr>
            </w:pPr>
            <w:r w:rsidRPr="00B90951">
              <w:rPr>
                <w:rFonts w:ascii="Arial" w:hAnsi="Arial" w:cs="Arial"/>
                <w:color w:val="6C6361"/>
                <w:sz w:val="23"/>
                <w:szCs w:val="23"/>
              </w:rPr>
              <w:t>of stock</w:t>
            </w:r>
          </w:p>
        </w:tc>
      </w:tr>
    </w:tbl>
    <w:p w:rsidR="00B15B9F" w:rsidRPr="00B90951" w:rsidRDefault="00B15B9F" w:rsidP="00B15B9F">
      <w:pPr>
        <w:spacing w:line="276" w:lineRule="auto"/>
        <w:rPr>
          <w:rFonts w:ascii="Arial" w:hAnsi="Arial" w:cs="Arial"/>
          <w:sz w:val="18"/>
          <w:szCs w:val="18"/>
        </w:rPr>
      </w:pPr>
    </w:p>
    <w:p w:rsidR="00B15B9F" w:rsidRPr="00B90951" w:rsidRDefault="00B15B9F" w:rsidP="00B15B9F">
      <w:pPr>
        <w:spacing w:line="276" w:lineRule="auto"/>
        <w:jc w:val="left"/>
        <w:rPr>
          <w:rFonts w:ascii="Arial" w:hAnsi="Arial" w:cs="Arial"/>
          <w:sz w:val="18"/>
          <w:szCs w:val="18"/>
        </w:rPr>
      </w:pPr>
    </w:p>
    <w:p w:rsidR="00B15B9F" w:rsidRPr="00B90951" w:rsidRDefault="00B15B9F" w:rsidP="00B15B9F">
      <w:pPr>
        <w:spacing w:line="276" w:lineRule="auto"/>
        <w:jc w:val="left"/>
        <w:rPr>
          <w:rFonts w:ascii="Arial" w:hAnsi="Arial" w:cs="Arial"/>
          <w:sz w:val="18"/>
          <w:szCs w:val="18"/>
        </w:rPr>
      </w:pPr>
    </w:p>
    <w:p w:rsidR="00B15B9F" w:rsidRPr="00B90951" w:rsidRDefault="00B15B9F" w:rsidP="00B15B9F">
      <w:pPr>
        <w:spacing w:line="276" w:lineRule="auto"/>
        <w:jc w:val="left"/>
        <w:rPr>
          <w:rFonts w:ascii="Arial" w:hAnsi="Arial" w:cs="Arial"/>
          <w:sz w:val="18"/>
          <w:szCs w:val="18"/>
        </w:rPr>
      </w:pPr>
    </w:p>
    <w:p w:rsidR="00B15B9F" w:rsidRPr="00B90951" w:rsidRDefault="00B15B9F" w:rsidP="00B15B9F">
      <w:pPr>
        <w:spacing w:line="276" w:lineRule="auto"/>
        <w:jc w:val="left"/>
        <w:rPr>
          <w:rFonts w:ascii="Arial" w:hAnsi="Arial" w:cs="Arial"/>
          <w:sz w:val="18"/>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9147"/>
        <w:gridCol w:w="1626"/>
      </w:tblGrid>
      <w:tr w:rsidR="00B15B9F" w:rsidRPr="006F0545" w:rsidTr="00B95FF5">
        <w:trPr>
          <w:trHeight w:val="397"/>
          <w:jc w:val="center"/>
        </w:trPr>
        <w:tc>
          <w:tcPr>
            <w:tcW w:w="10773" w:type="dxa"/>
            <w:gridSpan w:val="2"/>
            <w:tcBorders>
              <w:top w:val="nil"/>
              <w:bottom w:val="nil"/>
            </w:tcBorders>
            <w:shd w:val="clear" w:color="auto" w:fill="F0EBE1"/>
            <w:vAlign w:val="center"/>
          </w:tcPr>
          <w:p w:rsidR="00B15B9F" w:rsidRPr="006F0545" w:rsidRDefault="00B15B9F" w:rsidP="00B95FF5">
            <w:pPr>
              <w:spacing w:line="276" w:lineRule="auto"/>
              <w:jc w:val="left"/>
              <w:rPr>
                <w:rFonts w:ascii="Arial" w:hAnsi="Arial" w:cs="Arial"/>
                <w:b/>
                <w:color w:val="524B48"/>
                <w:sz w:val="23"/>
                <w:szCs w:val="23"/>
              </w:rPr>
            </w:pPr>
            <w:r w:rsidRPr="006F0545">
              <w:rPr>
                <w:rFonts w:ascii="Arial" w:hAnsi="Arial" w:cs="Arial"/>
                <w:b/>
                <w:color w:val="524B48"/>
                <w:sz w:val="23"/>
                <w:szCs w:val="23"/>
              </w:rPr>
              <w:lastRenderedPageBreak/>
              <w:t>Rating Valuation</w:t>
            </w:r>
          </w:p>
        </w:tc>
      </w:tr>
      <w:tr w:rsidR="00B15B9F" w:rsidRPr="006F0545" w:rsidTr="00B95FF5">
        <w:trPr>
          <w:trHeight w:val="8562"/>
          <w:jc w:val="center"/>
        </w:trPr>
        <w:tc>
          <w:tcPr>
            <w:tcW w:w="10773" w:type="dxa"/>
            <w:gridSpan w:val="2"/>
            <w:tcBorders>
              <w:top w:val="nil"/>
              <w:bottom w:val="nil"/>
            </w:tcBorders>
            <w:shd w:val="clear" w:color="auto" w:fill="FFFFFF" w:themeFill="background1"/>
            <w:vAlign w:val="center"/>
          </w:tcPr>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The hypothetical rating world</w:t>
            </w:r>
          </w:p>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 xml:space="preserve">The Rating principles derived from important English cases on rating valuation </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Assessment Authority v Southern Railway Co [1936] AC 266</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Humber Limited v Jones and Rugby R.D.C. (1960) 53 R &amp; IT 293</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Assessment Committee of the Metropolitan Borough of Poplar v Roberts [1922] 2 AC 93</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Bluebell Railway Limited v Ball (Valuation Officer) [1984] RA 113</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Townley Mill v Assessment Committee of Oldham [1937] AC 419</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 xml:space="preserve">Tomlinson (Valuation Officer) v Plymouth Argyle Football Club (1960) 53 R &amp; IT 297  </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Fir Mill Ltd v Royton Urban District Council and Jones (Valuation Officer) (1960) 7 RRC 171</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Edmondon (Valuation Officer) v Teesside Textiles Ltd [1984] RA 247</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London County Council v Erith [1984] AC 562</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The Parish Council of the City of Edinburgh v The Lord Provost, Magistrates &amp; The Council</w:t>
            </w:r>
          </w:p>
          <w:p w:rsidR="00B15B9F" w:rsidRPr="006F0545" w:rsidRDefault="00B15B9F" w:rsidP="00B95FF5">
            <w:pPr>
              <w:pStyle w:val="ListParagraph"/>
              <w:spacing w:line="276" w:lineRule="auto"/>
              <w:jc w:val="left"/>
              <w:rPr>
                <w:rFonts w:ascii="Arial" w:hAnsi="Arial" w:cs="Arial"/>
                <w:i/>
                <w:color w:val="6C6361"/>
                <w:sz w:val="23"/>
                <w:szCs w:val="23"/>
              </w:rPr>
            </w:pPr>
            <w:r w:rsidRPr="006F0545">
              <w:rPr>
                <w:rFonts w:ascii="Arial" w:hAnsi="Arial" w:cs="Arial"/>
                <w:i/>
                <w:color w:val="6C6361"/>
                <w:sz w:val="23"/>
                <w:szCs w:val="23"/>
              </w:rPr>
              <w:t>of the City of Edinburgh 1912 SC 793</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Hoare (VO) v National Trust [1998] RA 391</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Dawkins (Valuation Officer) v Ash Brothers and Heaton Limited [1969] 2 AC 366</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Consett Iron Company v Assessment Committee for No. 5 or North-West Area of County</w:t>
            </w:r>
          </w:p>
          <w:p w:rsidR="00B15B9F" w:rsidRPr="006F0545" w:rsidRDefault="00B15B9F" w:rsidP="00B95FF5">
            <w:pPr>
              <w:pStyle w:val="ListParagraph"/>
              <w:spacing w:line="276" w:lineRule="auto"/>
              <w:jc w:val="left"/>
              <w:rPr>
                <w:rFonts w:ascii="Arial" w:hAnsi="Arial" w:cs="Arial"/>
                <w:i/>
                <w:color w:val="6C6361"/>
                <w:sz w:val="23"/>
                <w:szCs w:val="23"/>
              </w:rPr>
            </w:pPr>
            <w:r w:rsidRPr="006F0545">
              <w:rPr>
                <w:rFonts w:ascii="Arial" w:hAnsi="Arial" w:cs="Arial"/>
                <w:i/>
                <w:color w:val="6C6361"/>
                <w:sz w:val="23"/>
                <w:szCs w:val="23"/>
              </w:rPr>
              <w:t>of Durham [1931] AC 396</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London County Council v Wilkins (Valuation Officer) [1957] AC 362</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R v Paddington Valuation Officer, ex parte Peachey Property Corp. Ltd [1966] 1 QB 380</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Winchester City Council v Hancock [2006] RA 265</w:t>
            </w:r>
          </w:p>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Best Origin Limited v Commissioner of Rating and Valuation</w:t>
            </w:r>
          </w:p>
          <w:p w:rsidR="00B15B9F" w:rsidRPr="006F0545" w:rsidRDefault="00B15B9F" w:rsidP="00B95FF5">
            <w:pPr>
              <w:pStyle w:val="ListParagraph"/>
              <w:spacing w:line="276" w:lineRule="auto"/>
              <w:ind w:left="360"/>
              <w:jc w:val="left"/>
              <w:rPr>
                <w:rFonts w:ascii="Arial" w:hAnsi="Arial" w:cs="Arial"/>
                <w:color w:val="6C6361"/>
                <w:sz w:val="23"/>
                <w:szCs w:val="23"/>
              </w:rPr>
            </w:pPr>
            <w:r w:rsidRPr="006F0545">
              <w:rPr>
                <w:rFonts w:ascii="Arial" w:hAnsi="Arial" w:cs="Arial"/>
                <w:color w:val="6C6361"/>
                <w:sz w:val="23"/>
                <w:szCs w:val="23"/>
              </w:rPr>
              <w:t>- the rebus sic stantibus principle and s.7A(2) of the Rating Ordinance</w:t>
            </w:r>
          </w:p>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Public utilities</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CLP Power Hong Kong Limited v Commissioner of Rating and Valuation</w:t>
            </w:r>
          </w:p>
          <w:p w:rsidR="00B15B9F" w:rsidRPr="006F0545" w:rsidRDefault="00B15B9F" w:rsidP="00B95FF5">
            <w:pPr>
              <w:pStyle w:val="ListParagraph"/>
              <w:spacing w:line="276" w:lineRule="auto"/>
              <w:jc w:val="left"/>
              <w:rPr>
                <w:rFonts w:ascii="Arial" w:hAnsi="Arial" w:cs="Arial"/>
                <w:i/>
                <w:color w:val="6C6361"/>
                <w:sz w:val="23"/>
                <w:szCs w:val="23"/>
              </w:rPr>
            </w:pPr>
            <w:r w:rsidRPr="006F0545">
              <w:rPr>
                <w:rFonts w:ascii="Arial" w:hAnsi="Arial" w:cs="Arial"/>
                <w:i/>
                <w:color w:val="6C6361"/>
                <w:sz w:val="23"/>
                <w:szCs w:val="23"/>
              </w:rPr>
              <w:t>LDGA 241A/2004 24 April 2013</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The Hong Kong Electric Co Ltd v Commissioner of Rating and Valuation</w:t>
            </w:r>
          </w:p>
          <w:p w:rsidR="00B15B9F" w:rsidRPr="006F0545" w:rsidRDefault="00B15B9F" w:rsidP="00B95FF5">
            <w:pPr>
              <w:pStyle w:val="ListParagraph"/>
              <w:spacing w:line="276" w:lineRule="auto"/>
              <w:jc w:val="left"/>
              <w:rPr>
                <w:rFonts w:ascii="Arial" w:hAnsi="Arial" w:cs="Arial"/>
                <w:i/>
                <w:color w:val="6C6361"/>
                <w:sz w:val="23"/>
                <w:szCs w:val="23"/>
              </w:rPr>
            </w:pPr>
            <w:r w:rsidRPr="006F0545">
              <w:rPr>
                <w:rFonts w:ascii="Arial" w:hAnsi="Arial" w:cs="Arial"/>
                <w:i/>
                <w:color w:val="6C6361"/>
                <w:sz w:val="23"/>
                <w:szCs w:val="23"/>
              </w:rPr>
              <w:t>LDGA 224/2004, 30 November 2009</w:t>
            </w:r>
          </w:p>
          <w:p w:rsidR="00B15B9F" w:rsidRPr="006F0545" w:rsidRDefault="00B15B9F" w:rsidP="00B95FF5">
            <w:pPr>
              <w:pStyle w:val="ListParagraph"/>
              <w:numPr>
                <w:ilvl w:val="1"/>
                <w:numId w:val="2"/>
              </w:numPr>
              <w:spacing w:line="276" w:lineRule="auto"/>
              <w:jc w:val="left"/>
              <w:rPr>
                <w:rFonts w:ascii="Arial" w:hAnsi="Arial" w:cs="Arial"/>
                <w:i/>
                <w:color w:val="6C6361"/>
                <w:sz w:val="23"/>
                <w:szCs w:val="23"/>
              </w:rPr>
            </w:pPr>
            <w:r w:rsidRPr="006F0545">
              <w:rPr>
                <w:rFonts w:ascii="Arial" w:hAnsi="Arial" w:cs="Arial"/>
                <w:i/>
                <w:color w:val="6C6361"/>
                <w:sz w:val="23"/>
                <w:szCs w:val="23"/>
              </w:rPr>
              <w:t>British Telecommunication Plc v Central Valuation Officer 1998</w:t>
            </w:r>
          </w:p>
        </w:tc>
      </w:tr>
      <w:tr w:rsidR="00B15B9F" w:rsidRPr="006F0545" w:rsidTr="00B95FF5">
        <w:trPr>
          <w:trHeight w:val="397"/>
          <w:jc w:val="center"/>
        </w:trPr>
        <w:tc>
          <w:tcPr>
            <w:tcW w:w="10773" w:type="dxa"/>
            <w:gridSpan w:val="2"/>
            <w:tcBorders>
              <w:top w:val="nil"/>
            </w:tcBorders>
            <w:shd w:val="clear" w:color="auto" w:fill="F0EBE1"/>
            <w:vAlign w:val="center"/>
          </w:tcPr>
          <w:p w:rsidR="00B15B9F" w:rsidRPr="006F0545" w:rsidRDefault="00B15B9F" w:rsidP="00B95FF5">
            <w:pPr>
              <w:spacing w:line="276" w:lineRule="auto"/>
              <w:jc w:val="left"/>
              <w:rPr>
                <w:rFonts w:ascii="Arial" w:hAnsi="Arial" w:cs="Arial"/>
                <w:b/>
                <w:color w:val="524B48"/>
                <w:sz w:val="23"/>
                <w:szCs w:val="23"/>
              </w:rPr>
            </w:pPr>
            <w:r w:rsidRPr="006F0545">
              <w:rPr>
                <w:rFonts w:ascii="Arial" w:hAnsi="Arial" w:cs="Arial"/>
                <w:b/>
                <w:color w:val="524B48"/>
                <w:sz w:val="23"/>
                <w:szCs w:val="23"/>
              </w:rPr>
              <w:t>Compulsory Sale for Redevelopment</w:t>
            </w:r>
          </w:p>
        </w:tc>
      </w:tr>
      <w:tr w:rsidR="00B15B9F" w:rsidRPr="006F0545" w:rsidTr="00B95FF5">
        <w:trPr>
          <w:trHeight w:val="1701"/>
          <w:jc w:val="center"/>
        </w:trPr>
        <w:tc>
          <w:tcPr>
            <w:tcW w:w="9152" w:type="dxa"/>
            <w:tcBorders>
              <w:bottom w:val="nil"/>
              <w:right w:val="nil"/>
            </w:tcBorders>
            <w:shd w:val="clear" w:color="auto" w:fill="FFFFFF"/>
            <w:vAlign w:val="center"/>
          </w:tcPr>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An overview</w:t>
            </w:r>
          </w:p>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Determining existing use value</w:t>
            </w:r>
          </w:p>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The reserve price</w:t>
            </w:r>
          </w:p>
          <w:p w:rsidR="00B15B9F" w:rsidRPr="006F0545" w:rsidRDefault="00B15B9F" w:rsidP="00B95FF5">
            <w:pPr>
              <w:pStyle w:val="ListParagraph"/>
              <w:numPr>
                <w:ilvl w:val="0"/>
                <w:numId w:val="2"/>
              </w:numPr>
              <w:spacing w:line="276" w:lineRule="auto"/>
              <w:jc w:val="left"/>
              <w:rPr>
                <w:rFonts w:ascii="Arial" w:hAnsi="Arial" w:cs="Arial"/>
                <w:color w:val="6C6361"/>
                <w:sz w:val="23"/>
                <w:szCs w:val="23"/>
              </w:rPr>
            </w:pPr>
            <w:r w:rsidRPr="006F0545">
              <w:rPr>
                <w:rFonts w:ascii="Arial" w:hAnsi="Arial" w:cs="Arial"/>
                <w:color w:val="6C6361"/>
                <w:sz w:val="23"/>
                <w:szCs w:val="23"/>
              </w:rPr>
              <w:t>Adjoining lots and statutory construction</w:t>
            </w:r>
          </w:p>
          <w:p w:rsidR="00B15B9F" w:rsidRPr="006F0545" w:rsidRDefault="00B15B9F" w:rsidP="00B95FF5">
            <w:pPr>
              <w:pStyle w:val="ListParagraph"/>
              <w:spacing w:line="276" w:lineRule="auto"/>
              <w:ind w:left="360"/>
              <w:jc w:val="left"/>
              <w:rPr>
                <w:rFonts w:ascii="Arial" w:hAnsi="Arial" w:cs="Arial"/>
                <w:color w:val="6C6361"/>
                <w:sz w:val="23"/>
                <w:szCs w:val="23"/>
              </w:rPr>
            </w:pPr>
            <w:r w:rsidRPr="006F0545">
              <w:rPr>
                <w:rFonts w:ascii="Arial" w:hAnsi="Arial" w:cs="Arial"/>
                <w:color w:val="6C6361"/>
                <w:sz w:val="23"/>
                <w:szCs w:val="23"/>
              </w:rPr>
              <w:t>(“ransom power” and compensation for full redevelopment potential)</w:t>
            </w:r>
          </w:p>
        </w:tc>
        <w:tc>
          <w:tcPr>
            <w:tcW w:w="1621" w:type="dxa"/>
            <w:tcBorders>
              <w:left w:val="nil"/>
              <w:bottom w:val="nil"/>
            </w:tcBorders>
            <w:shd w:val="clear" w:color="auto" w:fill="FFFFFF"/>
            <w:vAlign w:val="center"/>
          </w:tcPr>
          <w:p w:rsidR="00B15B9F" w:rsidRPr="006F0545" w:rsidRDefault="00B15B9F" w:rsidP="00B95FF5">
            <w:pPr>
              <w:spacing w:line="276" w:lineRule="auto"/>
              <w:jc w:val="center"/>
              <w:rPr>
                <w:rFonts w:ascii="Arial" w:hAnsi="Arial" w:cs="Arial"/>
                <w:color w:val="6C6361"/>
                <w:sz w:val="23"/>
                <w:szCs w:val="23"/>
              </w:rPr>
            </w:pPr>
            <w:r w:rsidRPr="00FA5EA4">
              <w:rPr>
                <w:rFonts w:ascii="Arial" w:hAnsi="Arial" w:cs="Arial"/>
                <w:noProof/>
                <w:color w:val="6C6361"/>
                <w:sz w:val="23"/>
                <w:szCs w:val="23"/>
              </w:rPr>
              <w:drawing>
                <wp:inline distT="0" distB="0" distL="0" distR="0" wp14:anchorId="4F7767E7" wp14:editId="32D9E90D">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B15B9F" w:rsidRPr="00B90951" w:rsidRDefault="00B15B9F" w:rsidP="00B15B9F">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B15B9F" w:rsidRPr="00B90951" w:rsidTr="00B95FF5">
        <w:trPr>
          <w:trHeight w:val="340"/>
          <w:jc w:val="center"/>
        </w:trPr>
        <w:tc>
          <w:tcPr>
            <w:tcW w:w="1701" w:type="dxa"/>
            <w:tcBorders>
              <w:top w:val="nil"/>
              <w:left w:val="nil"/>
              <w:bottom w:val="single" w:sz="12" w:space="0" w:color="FFFFFF"/>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hAnsi="Arial" w:cs="Arial"/>
                <w:b/>
                <w:bCs/>
                <w:color w:val="6C6361"/>
                <w:sz w:val="20"/>
                <w:szCs w:val="20"/>
              </w:rPr>
              <w:t>EVT000000051</w:t>
            </w:r>
          </w:p>
        </w:tc>
        <w:tc>
          <w:tcPr>
            <w:tcW w:w="1701" w:type="dxa"/>
            <w:tcBorders>
              <w:top w:val="nil"/>
              <w:bottom w:val="single" w:sz="12" w:space="0" w:color="FFFFFF"/>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B15B9F" w:rsidRPr="00B90951" w:rsidTr="00B95FF5">
        <w:trPr>
          <w:trHeight w:val="340"/>
          <w:jc w:val="center"/>
        </w:trPr>
        <w:tc>
          <w:tcPr>
            <w:tcW w:w="1701" w:type="dxa"/>
            <w:tcBorders>
              <w:top w:val="single" w:sz="12" w:space="0" w:color="FFFFFF"/>
              <w:left w:val="nil"/>
              <w:bottom w:val="single" w:sz="12" w:space="0" w:color="FFFFFF"/>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16 March</w:t>
            </w:r>
            <w:r w:rsidRPr="00B90951">
              <w:rPr>
                <w:rFonts w:ascii="Arial" w:hAnsi="Arial" w:cs="Arial"/>
                <w:b/>
                <w:color w:val="6C6361"/>
                <w:sz w:val="20"/>
                <w:szCs w:val="20"/>
              </w:rPr>
              <w:t xml:space="preserve"> 2015 (</w:t>
            </w:r>
            <w:r>
              <w:rPr>
                <w:rFonts w:ascii="Arial" w:hAnsi="Arial" w:cs="Arial"/>
                <w:b/>
                <w:color w:val="6C6361"/>
                <w:sz w:val="20"/>
                <w:szCs w:val="20"/>
              </w:rPr>
              <w:t>Monday</w:t>
            </w:r>
            <w:r w:rsidRPr="00B90951">
              <w:rPr>
                <w:rFonts w:ascii="Arial" w:hAnsi="Arial" w:cs="Arial"/>
                <w:b/>
                <w:color w:val="6C6361"/>
                <w:sz w:val="20"/>
                <w:szCs w:val="20"/>
              </w:rPr>
              <w:t>)</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B15B9F" w:rsidRPr="00B90951" w:rsidTr="00B95FF5">
        <w:trPr>
          <w:trHeight w:val="340"/>
          <w:jc w:val="center"/>
        </w:trPr>
        <w:tc>
          <w:tcPr>
            <w:tcW w:w="1701" w:type="dxa"/>
            <w:tcBorders>
              <w:top w:val="single" w:sz="12" w:space="0" w:color="FFFFFF"/>
              <w:left w:val="nil"/>
              <w:bottom w:val="single" w:sz="12" w:space="0" w:color="FFFFFF"/>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tc>
      </w:tr>
      <w:tr w:rsidR="00B15B9F" w:rsidRPr="00B90951" w:rsidTr="00B95FF5">
        <w:trPr>
          <w:trHeight w:val="1247"/>
          <w:jc w:val="center"/>
        </w:trPr>
        <w:tc>
          <w:tcPr>
            <w:tcW w:w="1701" w:type="dxa"/>
            <w:tcBorders>
              <w:top w:val="single" w:sz="12" w:space="0" w:color="FFFFFF"/>
              <w:left w:val="nil"/>
              <w:bottom w:val="nil"/>
            </w:tcBorders>
            <w:shd w:val="clear" w:color="auto" w:fill="F0EBE1"/>
            <w:vAlign w:val="center"/>
          </w:tcPr>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B15B9F" w:rsidRPr="00B90951" w:rsidRDefault="00B15B9F" w:rsidP="00B95FF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B90951">
              <w:rPr>
                <w:rFonts w:ascii="Arial" w:hAnsi="Arial" w:cs="Arial"/>
                <w:b/>
                <w:color w:val="6C6361"/>
                <w:sz w:val="20"/>
                <w:szCs w:val="20"/>
              </w:rPr>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B15B9F" w:rsidRPr="00B90951"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B15B9F" w:rsidRPr="00B90951" w:rsidRDefault="00B15B9F" w:rsidP="00B95FF5">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CCE7348" wp14:editId="4729900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B15B9F" w:rsidRPr="00B90951" w:rsidRDefault="00B15B9F" w:rsidP="00B95FF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B15B9F" w:rsidRPr="001F18B3"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Request for</w:t>
            </w:r>
          </w:p>
          <w:p w:rsidR="00B15B9F" w:rsidRPr="001F18B3"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B15B9F" w:rsidRPr="001F18B3"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 xml:space="preserve">Please </w:t>
            </w:r>
            <w:hyperlink r:id="rId16" w:history="1">
              <w:r w:rsidRPr="001F18B3">
                <w:rPr>
                  <w:rStyle w:val="Hyperlink"/>
                  <w:rFonts w:ascii="Arial" w:eastAsia="Times New Roman" w:hAnsi="Arial" w:cs="Arial"/>
                  <w:b/>
                  <w:noProof/>
                  <w:color w:val="6C6361"/>
                  <w:sz w:val="20"/>
                  <w:szCs w:val="20"/>
                  <w:u w:val="none"/>
                </w:rPr>
                <w:t>Contact Us</w:t>
              </w:r>
            </w:hyperlink>
          </w:p>
          <w:p w:rsidR="00B15B9F" w:rsidRPr="001F18B3"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B15B9F" w:rsidRPr="00156567" w:rsidRDefault="00B15B9F" w:rsidP="00B9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868A80" wp14:editId="647C07F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B15B9F" w:rsidRDefault="00214BC6" w:rsidP="00B15B9F"/>
    <w:sectPr w:rsidR="00214BC6" w:rsidRPr="00B15B9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645" w:rsidRDefault="00AF1645" w:rsidP="00546556">
      <w:r>
        <w:separator/>
      </w:r>
    </w:p>
  </w:endnote>
  <w:endnote w:type="continuationSeparator" w:id="0">
    <w:p w:rsidR="00AF1645" w:rsidRDefault="00AF164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645" w:rsidRDefault="00AF1645" w:rsidP="00546556">
      <w:r>
        <w:separator/>
      </w:r>
    </w:p>
  </w:footnote>
  <w:footnote w:type="continuationSeparator" w:id="0">
    <w:p w:rsidR="00AF1645" w:rsidRDefault="00AF164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1"/>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ocumentProtection w:edit="forms" w:enforcement="1" w:cryptProviderType="rsaAES" w:cryptAlgorithmClass="hash" w:cryptAlgorithmType="typeAny" w:cryptAlgorithmSid="14" w:cryptSpinCount="100000" w:hash="vqhNDD2IwPmxv+hWm9LbopSSd8tqIg21YjkT+byoVM1PxOdjfDQO8pZbEuWepLeMCsLlwuyzUprp/4gNF8sWYw==" w:salt="4whkq+i9YhAZndRepvscy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6792"/>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1645"/>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5B9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8D4"/>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05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026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38F53-2FDE-4F22-AF87-9A5FC3C35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Mediation for Personal Injuries &amp; Employee Compensation Claims Disputes</vt:lpstr>
    </vt:vector>
  </TitlesOfParts>
  <Manager>Tyrone Tsang</Manager>
  <Company>The Profectional Company Limited</Company>
  <LinksUpToDate>false</LinksUpToDate>
  <CharactersWithSpaces>4271</CharactersWithSpaces>
  <SharedDoc>false</SharedDoc>
  <HyperlinkBase>http://download.profectional.com/events/EVT000000051.docx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Land Valuation</dc:title>
  <dc:subject>CPD Course: Land Valuation</dc:subject>
  <dc:creator>The Profectional Company Limited</dc:creator>
  <cp:keywords>Profectional; Kornerstone; CPD; CPT; CLE; CE; RME; Clemence Yeung; Barrister-at-Law</cp:keywords>
  <cp:lastModifiedBy>Tyrone Tsang</cp:lastModifiedBy>
  <cp:revision>2</cp:revision>
  <cp:lastPrinted>2014-10-16T01:46:00Z</cp:lastPrinted>
  <dcterms:created xsi:type="dcterms:W3CDTF">2015-03-14T15:51:00Z</dcterms:created>
  <dcterms:modified xsi:type="dcterms:W3CDTF">2015-03-14T15:51:00Z</dcterms:modified>
</cp:coreProperties>
</file>