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1F7" w:rsidRPr="003711F7" w:rsidRDefault="003711F7" w:rsidP="003711F7">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3711F7" w:rsidRPr="00523A64" w:rsidTr="006F102A">
        <w:trPr>
          <w:trHeight w:val="3119"/>
          <w:jc w:val="center"/>
        </w:trPr>
        <w:tc>
          <w:tcPr>
            <w:tcW w:w="4820" w:type="dxa"/>
            <w:shd w:val="clear" w:color="auto" w:fill="FFFFFF"/>
            <w:vAlign w:val="center"/>
          </w:tcPr>
          <w:p w:rsidR="003711F7" w:rsidRPr="001A3018" w:rsidRDefault="003711F7" w:rsidP="006F102A">
            <w:pPr>
              <w:jc w:val="center"/>
              <w:rPr>
                <w:rFonts w:ascii="Arial" w:hAnsi="Arial" w:cs="Arial"/>
                <w:b/>
                <w:bCs/>
                <w:color w:val="524B48"/>
                <w:sz w:val="4"/>
                <w:szCs w:val="4"/>
              </w:rPr>
            </w:pPr>
          </w:p>
          <w:p w:rsidR="003711F7" w:rsidRDefault="003711F7" w:rsidP="006F102A">
            <w:pPr>
              <w:jc w:val="center"/>
              <w:rPr>
                <w:rStyle w:val="Hyperlink"/>
                <w:rFonts w:ascii="Arial" w:hAnsi="Arial" w:cs="Arial"/>
                <w:b/>
                <w:bCs/>
                <w:color w:val="524B48"/>
                <w:sz w:val="32"/>
                <w:szCs w:val="32"/>
                <w:u w:val="none"/>
              </w:rPr>
            </w:pPr>
            <w:r>
              <w:fldChar w:fldCharType="begin"/>
            </w:r>
            <w:r w:rsidR="00FD27E0">
              <w:instrText>HYPERLINK "http://cpd.hk/evt000000055/"</w:instrText>
            </w:r>
            <w:r>
              <w:fldChar w:fldCharType="separate"/>
            </w:r>
            <w:r>
              <w:rPr>
                <w:rStyle w:val="Hyperlink"/>
                <w:rFonts w:ascii="Arial" w:hAnsi="Arial" w:cs="Arial"/>
                <w:b/>
                <w:bCs/>
                <w:color w:val="524B48"/>
                <w:sz w:val="32"/>
                <w:szCs w:val="32"/>
                <w:u w:val="none"/>
              </w:rPr>
              <w:t>Off-shore Litigation</w:t>
            </w:r>
          </w:p>
          <w:p w:rsidR="003711F7" w:rsidRDefault="003711F7" w:rsidP="006F102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Support of</w:t>
            </w:r>
          </w:p>
          <w:p w:rsidR="003711F7" w:rsidRDefault="003711F7" w:rsidP="006F102A">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On-shore Proceedings</w:t>
            </w:r>
          </w:p>
          <w:p w:rsidR="003711F7" w:rsidRPr="00C65AFD" w:rsidRDefault="003711F7" w:rsidP="006F102A">
            <w:pPr>
              <w:jc w:val="center"/>
              <w:rPr>
                <w:rFonts w:ascii="Arial" w:hAnsi="Arial" w:cs="Arial"/>
                <w:b/>
                <w:bCs/>
                <w:sz w:val="24"/>
                <w:szCs w:val="24"/>
              </w:rPr>
            </w:pPr>
            <w:r>
              <w:rPr>
                <w:rStyle w:val="Hyperlink"/>
                <w:rFonts w:ascii="Arial" w:hAnsi="Arial" w:cs="Arial"/>
                <w:b/>
                <w:bCs/>
                <w:color w:val="524B48"/>
                <w:sz w:val="32"/>
                <w:szCs w:val="32"/>
                <w:u w:val="none"/>
              </w:rPr>
              <w:fldChar w:fldCharType="end"/>
            </w:r>
          </w:p>
          <w:p w:rsidR="003711F7" w:rsidRPr="00C65AFD" w:rsidRDefault="003711F7" w:rsidP="006F102A">
            <w:pPr>
              <w:jc w:val="center"/>
              <w:rPr>
                <w:rFonts w:ascii="Arial" w:hAnsi="Arial" w:cs="Arial"/>
                <w:i/>
                <w:color w:val="6C6361"/>
                <w:sz w:val="24"/>
                <w:szCs w:val="24"/>
              </w:rPr>
            </w:pPr>
            <w:r w:rsidRPr="00C65AFD">
              <w:rPr>
                <w:rFonts w:ascii="Arial" w:hAnsi="Arial" w:cs="Arial"/>
                <w:i/>
                <w:color w:val="6C6361"/>
                <w:sz w:val="24"/>
                <w:szCs w:val="24"/>
              </w:rPr>
              <w:t>by</w:t>
            </w:r>
          </w:p>
          <w:p w:rsidR="003711F7" w:rsidRDefault="00CD74B0" w:rsidP="006F102A">
            <w:pPr>
              <w:jc w:val="center"/>
              <w:rPr>
                <w:rFonts w:ascii="Arial" w:hAnsi="Arial" w:cs="Arial"/>
                <w:color w:val="6C6361"/>
                <w:sz w:val="24"/>
                <w:szCs w:val="24"/>
              </w:rPr>
            </w:pPr>
            <w:hyperlink r:id="rId8" w:history="1">
              <w:r w:rsidR="003711F7">
                <w:rPr>
                  <w:rStyle w:val="Hyperlink"/>
                  <w:rFonts w:ascii="Arial" w:hAnsi="Arial" w:cs="Arial"/>
                  <w:color w:val="6C6361"/>
                  <w:sz w:val="24"/>
                  <w:szCs w:val="24"/>
                  <w:u w:val="none"/>
                </w:rPr>
                <w:t>M</w:t>
              </w:r>
              <w:r w:rsidR="003711F7" w:rsidRPr="00813E0C">
                <w:rPr>
                  <w:rStyle w:val="Hyperlink"/>
                  <w:rFonts w:ascii="Arial" w:hAnsi="Arial" w:cs="Arial"/>
                  <w:color w:val="6C6361"/>
                  <w:sz w:val="24"/>
                  <w:szCs w:val="24"/>
                  <w:u w:val="none"/>
                </w:rPr>
                <w:t xml:space="preserve">r. </w:t>
              </w:r>
              <w:r w:rsidR="003711F7">
                <w:rPr>
                  <w:rStyle w:val="Hyperlink"/>
                  <w:rFonts w:ascii="Arial" w:hAnsi="Arial" w:cs="Arial"/>
                  <w:color w:val="6C6361"/>
                  <w:sz w:val="24"/>
                  <w:szCs w:val="24"/>
                  <w:u w:val="none"/>
                </w:rPr>
                <w:t>James Noble</w:t>
              </w:r>
            </w:hyperlink>
            <w:r w:rsidR="003711F7" w:rsidRPr="00813E0C">
              <w:rPr>
                <w:rFonts w:ascii="Arial" w:hAnsi="Arial" w:cs="Arial"/>
                <w:color w:val="6C6361"/>
                <w:sz w:val="24"/>
                <w:szCs w:val="24"/>
              </w:rPr>
              <w:t>,</w:t>
            </w:r>
            <w:r w:rsidR="003711F7">
              <w:rPr>
                <w:rFonts w:ascii="Arial" w:hAnsi="Arial" w:cs="Arial"/>
                <w:color w:val="6C6361"/>
                <w:sz w:val="24"/>
                <w:szCs w:val="24"/>
              </w:rPr>
              <w:t xml:space="preserve"> Partner;</w:t>
            </w:r>
          </w:p>
          <w:p w:rsidR="003711F7" w:rsidRDefault="00CD74B0" w:rsidP="006F102A">
            <w:pPr>
              <w:jc w:val="center"/>
              <w:rPr>
                <w:rFonts w:ascii="Arial" w:hAnsi="Arial" w:cs="Arial"/>
                <w:color w:val="6C6361"/>
                <w:sz w:val="24"/>
                <w:szCs w:val="24"/>
              </w:rPr>
            </w:pPr>
            <w:hyperlink r:id="rId9" w:history="1">
              <w:r w:rsidR="003711F7">
                <w:rPr>
                  <w:rStyle w:val="Hyperlink"/>
                  <w:rFonts w:ascii="Arial" w:hAnsi="Arial" w:cs="Arial"/>
                  <w:color w:val="6C6361"/>
                  <w:sz w:val="24"/>
                  <w:szCs w:val="24"/>
                  <w:u w:val="none"/>
                </w:rPr>
                <w:t>M</w:t>
              </w:r>
              <w:r w:rsidR="003711F7" w:rsidRPr="00813E0C">
                <w:rPr>
                  <w:rStyle w:val="Hyperlink"/>
                  <w:rFonts w:ascii="Arial" w:hAnsi="Arial" w:cs="Arial"/>
                  <w:color w:val="6C6361"/>
                  <w:sz w:val="24"/>
                  <w:szCs w:val="24"/>
                  <w:u w:val="none"/>
                </w:rPr>
                <w:t xml:space="preserve">r. </w:t>
              </w:r>
              <w:r w:rsidR="003711F7">
                <w:rPr>
                  <w:rStyle w:val="Hyperlink"/>
                  <w:rFonts w:ascii="Arial" w:hAnsi="Arial" w:cs="Arial"/>
                  <w:color w:val="6C6361"/>
                  <w:sz w:val="24"/>
                  <w:szCs w:val="24"/>
                  <w:u w:val="none"/>
                </w:rPr>
                <w:t>Peter Huth-Wallis</w:t>
              </w:r>
            </w:hyperlink>
            <w:r w:rsidR="003711F7" w:rsidRPr="00813E0C">
              <w:rPr>
                <w:rFonts w:ascii="Arial" w:hAnsi="Arial" w:cs="Arial"/>
                <w:color w:val="6C6361"/>
                <w:sz w:val="24"/>
                <w:szCs w:val="24"/>
              </w:rPr>
              <w:t>,</w:t>
            </w:r>
            <w:r w:rsidR="003711F7">
              <w:rPr>
                <w:rFonts w:ascii="Arial" w:hAnsi="Arial" w:cs="Arial"/>
                <w:color w:val="6C6361"/>
                <w:sz w:val="24"/>
                <w:szCs w:val="24"/>
              </w:rPr>
              <w:t xml:space="preserve"> Senior Associate</w:t>
            </w:r>
          </w:p>
          <w:p w:rsidR="003711F7" w:rsidRDefault="003711F7" w:rsidP="006F102A">
            <w:pPr>
              <w:jc w:val="center"/>
              <w:rPr>
                <w:rFonts w:ascii="Arial" w:hAnsi="Arial" w:cs="Arial"/>
                <w:color w:val="6C6361"/>
                <w:sz w:val="24"/>
                <w:szCs w:val="24"/>
              </w:rPr>
            </w:pPr>
            <w:r>
              <w:rPr>
                <w:rFonts w:ascii="Arial" w:hAnsi="Arial" w:cs="Arial"/>
                <w:i/>
                <w:color w:val="6C6361"/>
                <w:sz w:val="24"/>
                <w:szCs w:val="24"/>
              </w:rPr>
              <w:t xml:space="preserve">&amp; </w:t>
            </w:r>
            <w:hyperlink r:id="rId10" w:history="1">
              <w:r>
                <w:rPr>
                  <w:rStyle w:val="Hyperlink"/>
                  <w:rFonts w:ascii="Arial" w:hAnsi="Arial" w:cs="Arial"/>
                  <w:color w:val="6C6361"/>
                  <w:sz w:val="24"/>
                  <w:szCs w:val="24"/>
                  <w:u w:val="none"/>
                </w:rPr>
                <w:t>Ms Stephentica Lee</w:t>
              </w:r>
            </w:hyperlink>
            <w:r w:rsidRPr="00813E0C">
              <w:rPr>
                <w:rFonts w:ascii="Arial" w:hAnsi="Arial" w:cs="Arial"/>
                <w:color w:val="6C6361"/>
                <w:sz w:val="24"/>
                <w:szCs w:val="24"/>
              </w:rPr>
              <w:t>,</w:t>
            </w:r>
            <w:r>
              <w:rPr>
                <w:rFonts w:ascii="Arial" w:hAnsi="Arial" w:cs="Arial"/>
                <w:color w:val="6C6361"/>
                <w:sz w:val="24"/>
                <w:szCs w:val="24"/>
              </w:rPr>
              <w:t xml:space="preserve"> Associate,</w:t>
            </w:r>
          </w:p>
          <w:p w:rsidR="003711F7" w:rsidRDefault="003711F7" w:rsidP="006F102A">
            <w:pPr>
              <w:jc w:val="center"/>
              <w:rPr>
                <w:rFonts w:ascii="Arial" w:hAnsi="Arial" w:cs="Arial"/>
                <w:color w:val="6C6361"/>
                <w:sz w:val="24"/>
                <w:szCs w:val="24"/>
              </w:rPr>
            </w:pPr>
            <w:r w:rsidRPr="005E254C">
              <w:rPr>
                <w:rFonts w:ascii="Arial" w:hAnsi="Arial" w:cs="Arial"/>
                <w:color w:val="6C6361"/>
                <w:sz w:val="24"/>
                <w:szCs w:val="24"/>
              </w:rPr>
              <w:t>Harney Westwood &amp; Riegels (Harneys)</w:t>
            </w:r>
          </w:p>
          <w:p w:rsidR="003711F7" w:rsidRPr="005810E0" w:rsidRDefault="003711F7" w:rsidP="006F102A">
            <w:pPr>
              <w:jc w:val="center"/>
              <w:rPr>
                <w:rFonts w:ascii="Arial" w:hAnsi="Arial" w:cs="Arial"/>
                <w:color w:val="6C6361"/>
                <w:sz w:val="4"/>
                <w:szCs w:val="4"/>
              </w:rPr>
            </w:pPr>
          </w:p>
        </w:tc>
        <w:tc>
          <w:tcPr>
            <w:tcW w:w="5954" w:type="dxa"/>
            <w:shd w:val="clear" w:color="auto" w:fill="FFFFFF"/>
            <w:vAlign w:val="center"/>
          </w:tcPr>
          <w:p w:rsidR="003711F7" w:rsidRPr="00D50772" w:rsidRDefault="003711F7" w:rsidP="006F102A">
            <w:pPr>
              <w:spacing w:line="276" w:lineRule="auto"/>
              <w:jc w:val="center"/>
              <w:rPr>
                <w:rFonts w:ascii="Arial" w:eastAsia="Times New Roman" w:hAnsi="Arial" w:cs="Arial"/>
                <w:noProof/>
                <w:sz w:val="20"/>
                <w:szCs w:val="20"/>
              </w:rPr>
            </w:pPr>
            <w:r w:rsidRPr="00CC32C0">
              <w:rPr>
                <w:rFonts w:ascii="Arial" w:hAnsi="Arial" w:cs="Arial"/>
                <w:i/>
                <w:noProof/>
                <w:color w:val="6C6361"/>
                <w:sz w:val="24"/>
                <w:szCs w:val="24"/>
              </w:rPr>
              <w:drawing>
                <wp:anchor distT="0" distB="0" distL="114300" distR="114300" simplePos="0" relativeHeight="251659264" behindDoc="0" locked="0" layoutInCell="1" allowOverlap="1" wp14:anchorId="1DA57818" wp14:editId="6FFCF14E">
                  <wp:simplePos x="0" y="0"/>
                  <wp:positionH relativeFrom="column">
                    <wp:posOffset>3176905</wp:posOffset>
                  </wp:positionH>
                  <wp:positionV relativeFrom="paragraph">
                    <wp:posOffset>-59690</wp:posOffset>
                  </wp:positionV>
                  <wp:extent cx="539750" cy="546735"/>
                  <wp:effectExtent l="0" t="0" r="0" b="5715"/>
                  <wp:wrapNone/>
                  <wp:docPr id="9" name="Pictur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55C22D34" wp14:editId="154D0513">
                  <wp:extent cx="3657600" cy="1828800"/>
                  <wp:effectExtent l="0" t="0" r="0" b="0"/>
                  <wp:docPr id="3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3711F7" w:rsidRPr="007D1DDD" w:rsidRDefault="003711F7" w:rsidP="003711F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5386"/>
        <w:gridCol w:w="5387"/>
      </w:tblGrid>
      <w:tr w:rsidR="003711F7" w:rsidRPr="00F3214B" w:rsidTr="006F102A">
        <w:trPr>
          <w:trHeight w:val="1474"/>
          <w:jc w:val="center"/>
        </w:trPr>
        <w:tc>
          <w:tcPr>
            <w:tcW w:w="5387" w:type="dxa"/>
            <w:shd w:val="clear" w:color="auto" w:fill="FFFFFF"/>
            <w:vAlign w:val="center"/>
          </w:tcPr>
          <w:p w:rsidR="003711F7" w:rsidRPr="00161455" w:rsidRDefault="003711F7" w:rsidP="006F102A">
            <w:pPr>
              <w:pStyle w:val="NormalWeb"/>
              <w:jc w:val="right"/>
              <w:rPr>
                <w:rFonts w:ascii="Arial" w:hAnsi="Arial" w:cs="Arial"/>
                <w:color w:val="006F98"/>
              </w:rPr>
            </w:pPr>
            <w:r w:rsidRPr="00161455">
              <w:rPr>
                <w:rFonts w:ascii="Arial" w:hAnsi="Arial" w:cs="Arial"/>
                <w:i/>
                <w:color w:val="006F98"/>
              </w:rPr>
              <w:t>This course is presented by:</w:t>
            </w:r>
            <w:r w:rsidRPr="00161455">
              <w:rPr>
                <w:rFonts w:ascii="Arial" w:hAnsi="Arial" w:cs="Arial"/>
                <w:color w:val="006F98"/>
              </w:rPr>
              <w:t xml:space="preserve"> </w:t>
            </w:r>
          </w:p>
        </w:tc>
        <w:tc>
          <w:tcPr>
            <w:tcW w:w="5387" w:type="dxa"/>
            <w:shd w:val="clear" w:color="auto" w:fill="FFFFFF"/>
            <w:vAlign w:val="center"/>
          </w:tcPr>
          <w:p w:rsidR="003711F7" w:rsidRPr="00F3214B" w:rsidRDefault="003711F7" w:rsidP="006F102A">
            <w:pPr>
              <w:pStyle w:val="NormalWeb"/>
              <w:rPr>
                <w:rFonts w:ascii="Arial" w:hAnsi="Arial" w:cs="Arial"/>
                <w:color w:val="6C6361"/>
              </w:rPr>
            </w:pPr>
            <w:r>
              <w:rPr>
                <w:rFonts w:ascii="Arial" w:hAnsi="Arial" w:cs="Arial"/>
                <w:noProof/>
                <w:color w:val="6C6361"/>
              </w:rPr>
              <w:drawing>
                <wp:inline distT="0" distB="0" distL="0" distR="0" wp14:anchorId="46C873EE" wp14:editId="13145CFC">
                  <wp:extent cx="2016000" cy="694800"/>
                  <wp:effectExtent l="0" t="0" r="3810" b="0"/>
                  <wp:docPr id="12" name="Picture 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GN000000855_20150127.jpg"/>
                          <pic:cNvPicPr/>
                        </pic:nvPicPr>
                        <pic:blipFill>
                          <a:blip r:embed="rId15">
                            <a:extLst>
                              <a:ext uri="{28A0092B-C50C-407E-A947-70E740481C1C}">
                                <a14:useLocalDpi xmlns:a14="http://schemas.microsoft.com/office/drawing/2010/main" val="0"/>
                              </a:ext>
                            </a:extLst>
                          </a:blip>
                          <a:stretch>
                            <a:fillRect/>
                          </a:stretch>
                        </pic:blipFill>
                        <pic:spPr>
                          <a:xfrm>
                            <a:off x="0" y="0"/>
                            <a:ext cx="2016000" cy="694800"/>
                          </a:xfrm>
                          <a:prstGeom prst="rect">
                            <a:avLst/>
                          </a:prstGeom>
                        </pic:spPr>
                      </pic:pic>
                    </a:graphicData>
                  </a:graphic>
                </wp:inline>
              </w:drawing>
            </w:r>
          </w:p>
        </w:tc>
      </w:tr>
    </w:tbl>
    <w:p w:rsidR="003711F7" w:rsidRPr="007D1DDD" w:rsidRDefault="003711F7" w:rsidP="003711F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711F7" w:rsidRPr="00F3214B" w:rsidTr="006F102A">
        <w:trPr>
          <w:trHeight w:val="7655"/>
          <w:jc w:val="center"/>
        </w:trPr>
        <w:tc>
          <w:tcPr>
            <w:tcW w:w="1985" w:type="dxa"/>
            <w:shd w:val="clear" w:color="auto" w:fill="FFFFFF"/>
            <w:vAlign w:val="center"/>
          </w:tcPr>
          <w:p w:rsidR="003711F7" w:rsidRPr="00F3214B" w:rsidRDefault="003711F7" w:rsidP="006F102A">
            <w:pPr>
              <w:spacing w:line="276" w:lineRule="auto"/>
              <w:contextualSpacing/>
              <w:jc w:val="center"/>
              <w:rPr>
                <w:rFonts w:ascii="Arial" w:hAnsi="Arial" w:cs="Arial"/>
                <w:sz w:val="24"/>
                <w:szCs w:val="24"/>
              </w:rPr>
            </w:pPr>
            <w:r w:rsidRPr="00F3214B">
              <w:rPr>
                <w:rFonts w:ascii="Arial" w:hAnsi="Arial" w:cs="Arial"/>
                <w:noProof/>
                <w:sz w:val="24"/>
                <w:szCs w:val="24"/>
              </w:rPr>
              <w:drawing>
                <wp:inline distT="0" distB="0" distL="0" distR="0" wp14:anchorId="0F3FFC20" wp14:editId="24B82388">
                  <wp:extent cx="1080135" cy="1440180"/>
                  <wp:effectExtent l="19050" t="0" r="5715" b="0"/>
                  <wp:docPr id="8" name="Picture 2" descr="C:\Users\botyrone\Desktop\the.profectional.company.limited\events\EVT000000001\robert.le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6"/>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711F7" w:rsidRPr="002A39DC" w:rsidRDefault="003711F7" w:rsidP="006F102A">
            <w:pPr>
              <w:pStyle w:val="NormalWeb"/>
              <w:contextualSpacing/>
              <w:rPr>
                <w:rFonts w:ascii="Arial" w:hAnsi="Arial" w:cs="Arial"/>
                <w:color w:val="6C6361"/>
              </w:rPr>
            </w:pPr>
            <w:r w:rsidRPr="002A39DC">
              <w:rPr>
                <w:rFonts w:ascii="Arial" w:hAnsi="Arial" w:cs="Arial"/>
                <w:color w:val="6C6361"/>
              </w:rPr>
              <w:t>James is a Partner in Harneys’ BVI and Cayman Litigation and Restructuring Department where he specialises in shareholder litigation and hedge fund disputes.  James also has a broad range of experience in financial services litigation and insolvency.</w:t>
            </w:r>
          </w:p>
          <w:p w:rsidR="003711F7" w:rsidRPr="002A39DC" w:rsidRDefault="003711F7" w:rsidP="006F102A">
            <w:pPr>
              <w:pStyle w:val="NormalWeb"/>
              <w:contextualSpacing/>
              <w:rPr>
                <w:rFonts w:ascii="Arial" w:hAnsi="Arial" w:cs="Arial"/>
                <w:color w:val="6C6361"/>
                <w:sz w:val="8"/>
                <w:szCs w:val="8"/>
              </w:rPr>
            </w:pPr>
          </w:p>
          <w:p w:rsidR="003711F7" w:rsidRPr="002A39DC" w:rsidRDefault="003711F7" w:rsidP="006F102A">
            <w:pPr>
              <w:pStyle w:val="NormalWeb"/>
              <w:contextualSpacing/>
              <w:rPr>
                <w:rFonts w:ascii="Arial" w:hAnsi="Arial" w:cs="Arial"/>
                <w:color w:val="6C6361"/>
              </w:rPr>
            </w:pPr>
            <w:r w:rsidRPr="002A39DC">
              <w:rPr>
                <w:rFonts w:ascii="Arial" w:hAnsi="Arial" w:cs="Arial"/>
                <w:color w:val="6C6361"/>
              </w:rPr>
              <w:t>Beginning his career with Clayton Utz in Australia, James subsequently worked as a senior associate in the London and Sydney offices of Norton Rose Fulbright for seven years before moving offshore.</w:t>
            </w:r>
            <w:r w:rsidRPr="00F3214B">
              <w:rPr>
                <w:rFonts w:ascii="Arial" w:hAnsi="Arial" w:cs="Arial"/>
                <w:color w:val="6C6361"/>
              </w:rPr>
              <w:t xml:space="preserve"> </w:t>
            </w:r>
            <w:r w:rsidRPr="002A39DC">
              <w:rPr>
                <w:rFonts w:ascii="Arial" w:hAnsi="Arial" w:cs="Arial"/>
                <w:color w:val="6C6361"/>
              </w:rPr>
              <w:t xml:space="preserve"> James has experience in a broad range of domestic and international disputes with a particular emphasis on banking and financial servi</w:t>
            </w:r>
            <w:r w:rsidRPr="00F3214B">
              <w:rPr>
                <w:rFonts w:ascii="Arial" w:hAnsi="Arial" w:cs="Arial"/>
                <w:color w:val="6C6361"/>
              </w:rPr>
              <w:t>ces litigation and arbitration.</w:t>
            </w:r>
          </w:p>
          <w:p w:rsidR="003711F7" w:rsidRPr="002A39DC" w:rsidRDefault="003711F7" w:rsidP="006F102A">
            <w:pPr>
              <w:pStyle w:val="NormalWeb"/>
              <w:contextualSpacing/>
              <w:rPr>
                <w:rFonts w:ascii="Arial" w:hAnsi="Arial" w:cs="Arial"/>
                <w:color w:val="6C6361"/>
                <w:sz w:val="8"/>
                <w:szCs w:val="8"/>
              </w:rPr>
            </w:pPr>
          </w:p>
          <w:p w:rsidR="003711F7" w:rsidRPr="00F3214B" w:rsidRDefault="003711F7" w:rsidP="006F102A">
            <w:pPr>
              <w:pStyle w:val="NormalWeb"/>
              <w:contextualSpacing/>
              <w:rPr>
                <w:rFonts w:ascii="Arial" w:hAnsi="Arial" w:cs="Arial"/>
                <w:color w:val="6C6361"/>
              </w:rPr>
            </w:pPr>
            <w:r w:rsidRPr="00F3214B">
              <w:rPr>
                <w:rFonts w:ascii="Arial" w:hAnsi="Arial" w:cs="Arial"/>
                <w:color w:val="6C6361"/>
              </w:rPr>
              <w:t>James also has experience in advising clients on litigation funding in Australia, the United Kingdom and the Cayman Islands.</w:t>
            </w:r>
          </w:p>
          <w:p w:rsidR="003711F7" w:rsidRPr="00E07FE3" w:rsidRDefault="003711F7" w:rsidP="006F102A">
            <w:pPr>
              <w:pStyle w:val="NormalWeb"/>
              <w:contextualSpacing/>
              <w:rPr>
                <w:rFonts w:ascii="Arial" w:hAnsi="Arial" w:cs="Arial"/>
                <w:color w:val="6C6361"/>
                <w:sz w:val="8"/>
                <w:szCs w:val="8"/>
              </w:rPr>
            </w:pPr>
          </w:p>
          <w:p w:rsidR="003711F7" w:rsidRPr="00F3214B" w:rsidRDefault="003711F7" w:rsidP="006F102A">
            <w:pPr>
              <w:pStyle w:val="NormalWeb"/>
              <w:contextualSpacing/>
              <w:rPr>
                <w:rFonts w:ascii="Arial" w:hAnsi="Arial" w:cs="Arial"/>
                <w:color w:val="6C6361"/>
              </w:rPr>
            </w:pPr>
            <w:r w:rsidRPr="00F3214B">
              <w:rPr>
                <w:rFonts w:ascii="Arial" w:hAnsi="Arial" w:cs="Arial"/>
                <w:b/>
                <w:color w:val="6C6361"/>
              </w:rPr>
              <w:t>James’ experience includes:</w:t>
            </w:r>
          </w:p>
          <w:p w:rsidR="003711F7" w:rsidRPr="002A39DC" w:rsidRDefault="003711F7" w:rsidP="003711F7">
            <w:pPr>
              <w:pStyle w:val="NormalWeb"/>
              <w:numPr>
                <w:ilvl w:val="0"/>
                <w:numId w:val="16"/>
              </w:numPr>
              <w:spacing w:before="0" w:beforeAutospacing="0" w:after="0" w:afterAutospacing="0"/>
              <w:contextualSpacing/>
              <w:jc w:val="both"/>
              <w:rPr>
                <w:rFonts w:ascii="Arial" w:hAnsi="Arial" w:cs="Arial"/>
                <w:color w:val="6C6361"/>
              </w:rPr>
            </w:pPr>
            <w:r w:rsidRPr="002A39DC">
              <w:rPr>
                <w:rFonts w:ascii="Arial" w:hAnsi="Arial" w:cs="Arial"/>
                <w:color w:val="6C6361"/>
              </w:rPr>
              <w:t>Acting in BVI proceedings for the estate of a Russian oligarch to recover assets which were misappropriated in breach of trust;</w:t>
            </w:r>
          </w:p>
          <w:p w:rsidR="003711F7" w:rsidRPr="002A39DC" w:rsidRDefault="003711F7" w:rsidP="003711F7">
            <w:pPr>
              <w:pStyle w:val="NormalWeb"/>
              <w:numPr>
                <w:ilvl w:val="0"/>
                <w:numId w:val="16"/>
              </w:numPr>
              <w:spacing w:before="0" w:beforeAutospacing="0" w:after="0" w:afterAutospacing="0"/>
              <w:contextualSpacing/>
              <w:jc w:val="both"/>
              <w:rPr>
                <w:rFonts w:ascii="Arial" w:hAnsi="Arial" w:cs="Arial"/>
                <w:color w:val="6C6361"/>
              </w:rPr>
            </w:pPr>
            <w:r w:rsidRPr="002A39DC">
              <w:rPr>
                <w:rFonts w:ascii="Arial" w:hAnsi="Arial" w:cs="Arial"/>
                <w:color w:val="6C6361"/>
              </w:rPr>
              <w:t>Acting on behalf of an investor who placed $130 million in a hedge fund program adminis</w:t>
            </w:r>
            <w:r w:rsidRPr="00F3214B">
              <w:rPr>
                <w:rFonts w:ascii="Arial" w:hAnsi="Arial" w:cs="Arial"/>
                <w:color w:val="6C6361"/>
              </w:rPr>
              <w:t xml:space="preserve">tered by an international bank.  </w:t>
            </w:r>
            <w:r w:rsidRPr="002A39DC">
              <w:rPr>
                <w:rFonts w:ascii="Arial" w:hAnsi="Arial" w:cs="Arial"/>
                <w:color w:val="6C6361"/>
              </w:rPr>
              <w:t>The proceedings culminated in a two month trial in the Financial Services Division of the Cayman Grand Court and involved allegations of fraud, breach of fiduciary duty, breach of trust and various statutory infringements;</w:t>
            </w:r>
          </w:p>
          <w:p w:rsidR="003711F7" w:rsidRPr="002A39DC" w:rsidRDefault="003711F7" w:rsidP="003711F7">
            <w:pPr>
              <w:pStyle w:val="NormalWeb"/>
              <w:numPr>
                <w:ilvl w:val="0"/>
                <w:numId w:val="16"/>
              </w:numPr>
              <w:spacing w:before="0" w:beforeAutospacing="0" w:after="0" w:afterAutospacing="0"/>
              <w:contextualSpacing/>
              <w:jc w:val="both"/>
              <w:rPr>
                <w:rFonts w:ascii="Arial" w:hAnsi="Arial" w:cs="Arial"/>
                <w:color w:val="6C6361"/>
              </w:rPr>
            </w:pPr>
            <w:r w:rsidRPr="002A39DC">
              <w:rPr>
                <w:rFonts w:ascii="Arial" w:hAnsi="Arial" w:cs="Arial"/>
                <w:color w:val="6C6361"/>
              </w:rPr>
              <w:t>Advising shareholders of a BVI company in relation to claims of unfair prejudice arising out of the wrongful conversion of preference shares;</w:t>
            </w:r>
          </w:p>
          <w:p w:rsidR="003711F7" w:rsidRPr="002A39DC" w:rsidRDefault="003711F7" w:rsidP="003711F7">
            <w:pPr>
              <w:pStyle w:val="NormalWeb"/>
              <w:numPr>
                <w:ilvl w:val="0"/>
                <w:numId w:val="16"/>
              </w:numPr>
              <w:spacing w:before="0" w:beforeAutospacing="0" w:after="0" w:afterAutospacing="0"/>
              <w:contextualSpacing/>
              <w:jc w:val="both"/>
              <w:rPr>
                <w:rFonts w:ascii="Arial" w:hAnsi="Arial" w:cs="Arial"/>
                <w:color w:val="6C6361"/>
              </w:rPr>
            </w:pPr>
            <w:r w:rsidRPr="002A39DC">
              <w:rPr>
                <w:rFonts w:ascii="Arial" w:hAnsi="Arial" w:cs="Arial"/>
                <w:color w:val="6C6361"/>
              </w:rPr>
              <w:t>Acting for multiple creditors in relation to the $56 million liquidations of two Cayman funds in the Sextant Group;</w:t>
            </w:r>
          </w:p>
          <w:p w:rsidR="003711F7" w:rsidRPr="00F3214B" w:rsidRDefault="003711F7" w:rsidP="003711F7">
            <w:pPr>
              <w:pStyle w:val="NormalWeb"/>
              <w:numPr>
                <w:ilvl w:val="0"/>
                <w:numId w:val="16"/>
              </w:numPr>
              <w:spacing w:before="0" w:beforeAutospacing="0" w:after="0" w:afterAutospacing="0"/>
              <w:contextualSpacing/>
              <w:jc w:val="both"/>
              <w:rPr>
                <w:rFonts w:ascii="Arial" w:hAnsi="Arial" w:cs="Arial"/>
                <w:color w:val="6C6361"/>
              </w:rPr>
            </w:pPr>
            <w:r w:rsidRPr="00F3214B">
              <w:rPr>
                <w:rFonts w:ascii="Arial" w:hAnsi="Arial" w:cs="Arial"/>
                <w:color w:val="6C6361"/>
              </w:rPr>
              <w:t>Advising a Middle Eastern bank on its rights and liabilities as an investor in an Islamic finance arrangement and appointing receivers to preserve the assets held by the Cayman investment vehicle.</w:t>
            </w:r>
          </w:p>
        </w:tc>
      </w:tr>
    </w:tbl>
    <w:p w:rsidR="003711F7" w:rsidRDefault="003711F7" w:rsidP="003711F7">
      <w:pPr>
        <w:spacing w:line="276" w:lineRule="auto"/>
        <w:jc w:val="left"/>
        <w:rPr>
          <w:rFonts w:ascii="Arial" w:hAnsi="Arial" w:cs="Arial"/>
          <w:sz w:val="20"/>
          <w:szCs w:val="20"/>
        </w:rPr>
      </w:pPr>
    </w:p>
    <w:p w:rsidR="003711F7" w:rsidRDefault="003711F7" w:rsidP="003711F7">
      <w:pPr>
        <w:spacing w:line="276" w:lineRule="auto"/>
        <w:jc w:val="left"/>
        <w:rPr>
          <w:rFonts w:ascii="Arial" w:hAnsi="Arial" w:cs="Arial"/>
          <w:sz w:val="20"/>
          <w:szCs w:val="20"/>
        </w:rPr>
      </w:pPr>
    </w:p>
    <w:p w:rsidR="003711F7" w:rsidRDefault="003711F7" w:rsidP="003711F7">
      <w:pPr>
        <w:spacing w:line="276" w:lineRule="auto"/>
        <w:jc w:val="left"/>
        <w:rPr>
          <w:rFonts w:ascii="Arial" w:hAnsi="Arial" w:cs="Arial"/>
          <w:sz w:val="20"/>
          <w:szCs w:val="20"/>
        </w:rPr>
      </w:pPr>
    </w:p>
    <w:p w:rsidR="003711F7" w:rsidRPr="00675A18" w:rsidRDefault="003711F7" w:rsidP="003711F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711F7" w:rsidRPr="00F3214B" w:rsidTr="006F102A">
        <w:trPr>
          <w:trHeight w:val="4394"/>
          <w:jc w:val="center"/>
        </w:trPr>
        <w:tc>
          <w:tcPr>
            <w:tcW w:w="1985" w:type="dxa"/>
            <w:shd w:val="clear" w:color="auto" w:fill="FFFFFF"/>
            <w:vAlign w:val="center"/>
          </w:tcPr>
          <w:p w:rsidR="003711F7" w:rsidRPr="00F3214B" w:rsidRDefault="003711F7" w:rsidP="006F102A">
            <w:pPr>
              <w:spacing w:line="276" w:lineRule="auto"/>
              <w:contextualSpacing/>
              <w:jc w:val="center"/>
              <w:rPr>
                <w:rFonts w:ascii="Arial" w:hAnsi="Arial" w:cs="Arial"/>
                <w:sz w:val="24"/>
                <w:szCs w:val="24"/>
              </w:rPr>
            </w:pPr>
            <w:r w:rsidRPr="00F3214B">
              <w:rPr>
                <w:rFonts w:ascii="Arial" w:hAnsi="Arial" w:cs="Arial"/>
                <w:noProof/>
                <w:sz w:val="24"/>
                <w:szCs w:val="24"/>
              </w:rPr>
              <w:lastRenderedPageBreak/>
              <w:drawing>
                <wp:inline distT="0" distB="0" distL="0" distR="0" wp14:anchorId="4737CBF5" wp14:editId="42984EA5">
                  <wp:extent cx="1080135" cy="1440180"/>
                  <wp:effectExtent l="0" t="0" r="5715" b="7620"/>
                  <wp:docPr id="11"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711F7" w:rsidRPr="007855CD" w:rsidRDefault="003711F7" w:rsidP="006F102A">
            <w:pPr>
              <w:pStyle w:val="NormalWeb"/>
              <w:contextualSpacing/>
              <w:rPr>
                <w:rFonts w:ascii="Arial" w:hAnsi="Arial" w:cs="Arial"/>
                <w:color w:val="6C6361"/>
              </w:rPr>
            </w:pPr>
            <w:r w:rsidRPr="007855CD">
              <w:rPr>
                <w:rFonts w:ascii="Arial" w:hAnsi="Arial" w:cs="Arial"/>
                <w:color w:val="6C6361"/>
              </w:rPr>
              <w:t>Peter joined Harneys in 2012 and is a senior associate in the Hong Kong office.</w:t>
            </w:r>
          </w:p>
          <w:p w:rsidR="003711F7" w:rsidRPr="007855CD" w:rsidRDefault="003711F7" w:rsidP="006F102A">
            <w:pPr>
              <w:pStyle w:val="NormalWeb"/>
              <w:contextualSpacing/>
              <w:rPr>
                <w:rFonts w:ascii="Arial" w:hAnsi="Arial" w:cs="Arial"/>
                <w:color w:val="6C6361"/>
                <w:sz w:val="8"/>
                <w:szCs w:val="8"/>
              </w:rPr>
            </w:pPr>
          </w:p>
          <w:p w:rsidR="003711F7" w:rsidRPr="007855CD" w:rsidRDefault="003711F7" w:rsidP="006F102A">
            <w:pPr>
              <w:pStyle w:val="NormalWeb"/>
              <w:contextualSpacing/>
              <w:rPr>
                <w:rFonts w:ascii="Arial" w:hAnsi="Arial" w:cs="Arial"/>
                <w:color w:val="6C6361"/>
              </w:rPr>
            </w:pPr>
            <w:r w:rsidRPr="007855CD">
              <w:rPr>
                <w:rFonts w:ascii="Arial" w:hAnsi="Arial" w:cs="Arial"/>
                <w:color w:val="6C6361"/>
              </w:rPr>
              <w:t>His practice focuses on international commercial disputes, with a particularly emphasis on shareholder disputes, asset recovery proceedings, and contentious insolvency proceedings.</w:t>
            </w:r>
          </w:p>
          <w:p w:rsidR="003711F7" w:rsidRPr="007855CD" w:rsidRDefault="003711F7" w:rsidP="006F102A">
            <w:pPr>
              <w:pStyle w:val="NormalWeb"/>
              <w:contextualSpacing/>
              <w:rPr>
                <w:rFonts w:ascii="Arial" w:hAnsi="Arial" w:cs="Arial"/>
                <w:color w:val="6C6361"/>
                <w:sz w:val="8"/>
                <w:szCs w:val="8"/>
              </w:rPr>
            </w:pPr>
          </w:p>
          <w:p w:rsidR="003711F7" w:rsidRPr="007855CD" w:rsidRDefault="003711F7" w:rsidP="006F102A">
            <w:pPr>
              <w:pStyle w:val="NormalWeb"/>
              <w:contextualSpacing/>
              <w:rPr>
                <w:rFonts w:ascii="Arial" w:hAnsi="Arial" w:cs="Arial"/>
                <w:color w:val="6C6361"/>
              </w:rPr>
            </w:pPr>
            <w:r w:rsidRPr="007855CD">
              <w:rPr>
                <w:rFonts w:ascii="Arial" w:hAnsi="Arial" w:cs="Arial"/>
                <w:color w:val="6C6361"/>
              </w:rPr>
              <w:t>Peter frequently acts in cases where proceedings are on foot in a number of different jurisdictions involving complex conflict of laws and jurisdictional issues.</w:t>
            </w:r>
          </w:p>
          <w:p w:rsidR="003711F7" w:rsidRPr="007855CD" w:rsidRDefault="003711F7" w:rsidP="006F102A">
            <w:pPr>
              <w:pStyle w:val="NormalWeb"/>
              <w:contextualSpacing/>
              <w:rPr>
                <w:rFonts w:ascii="Arial" w:hAnsi="Arial" w:cs="Arial"/>
                <w:color w:val="6C6361"/>
                <w:sz w:val="8"/>
                <w:szCs w:val="8"/>
              </w:rPr>
            </w:pPr>
          </w:p>
          <w:p w:rsidR="003711F7" w:rsidRPr="007855CD" w:rsidRDefault="003711F7" w:rsidP="006F102A">
            <w:pPr>
              <w:pStyle w:val="NormalWeb"/>
              <w:contextualSpacing/>
              <w:rPr>
                <w:rFonts w:ascii="Arial" w:hAnsi="Arial" w:cs="Arial"/>
                <w:color w:val="6C6361"/>
              </w:rPr>
            </w:pPr>
            <w:r w:rsidRPr="007855CD">
              <w:rPr>
                <w:rFonts w:ascii="Arial" w:hAnsi="Arial" w:cs="Arial"/>
                <w:color w:val="6C6361"/>
              </w:rPr>
              <w:t>Peter has experience of a broad range of interlocutory applications, including freezing and associated injunctive relief (both free standing and in aid of foreign proceedings) and disclosure orders.</w:t>
            </w:r>
          </w:p>
          <w:p w:rsidR="003711F7" w:rsidRPr="007855CD" w:rsidRDefault="003711F7" w:rsidP="006F102A">
            <w:pPr>
              <w:pStyle w:val="NormalWeb"/>
              <w:contextualSpacing/>
              <w:rPr>
                <w:rFonts w:ascii="Arial" w:hAnsi="Arial" w:cs="Arial"/>
                <w:color w:val="6C6361"/>
                <w:sz w:val="8"/>
                <w:szCs w:val="8"/>
              </w:rPr>
            </w:pPr>
          </w:p>
          <w:p w:rsidR="003711F7" w:rsidRPr="00F3214B" w:rsidRDefault="003711F7" w:rsidP="006F102A">
            <w:pPr>
              <w:pStyle w:val="NormalWeb"/>
              <w:contextualSpacing/>
              <w:rPr>
                <w:rFonts w:ascii="Arial" w:hAnsi="Arial" w:cs="Arial"/>
                <w:color w:val="6C6361"/>
              </w:rPr>
            </w:pPr>
            <w:r w:rsidRPr="007855CD">
              <w:rPr>
                <w:rFonts w:ascii="Arial" w:hAnsi="Arial" w:cs="Arial"/>
                <w:color w:val="6C6361"/>
              </w:rPr>
              <w:t>Prior to joining Harneys, Peter practiced at a US firm in the City of London.</w:t>
            </w:r>
            <w:r w:rsidRPr="00F3214B">
              <w:rPr>
                <w:rFonts w:ascii="Arial" w:hAnsi="Arial" w:cs="Arial"/>
                <w:color w:val="6C6361"/>
              </w:rPr>
              <w:t xml:space="preserve"> </w:t>
            </w:r>
            <w:r w:rsidRPr="007855CD">
              <w:rPr>
                <w:rFonts w:ascii="Arial" w:hAnsi="Arial" w:cs="Arial"/>
                <w:color w:val="6C6361"/>
              </w:rPr>
              <w:t xml:space="preserve"> His experience there had a particular emphasis on cross-border commercial litigation and international arbitration.</w:t>
            </w:r>
            <w:r w:rsidRPr="00F3214B">
              <w:rPr>
                <w:rFonts w:ascii="Arial" w:hAnsi="Arial" w:cs="Arial"/>
                <w:color w:val="6C6361"/>
              </w:rPr>
              <w:t xml:space="preserve"> </w:t>
            </w:r>
            <w:r w:rsidRPr="007855CD">
              <w:rPr>
                <w:rFonts w:ascii="Arial" w:hAnsi="Arial" w:cs="Arial"/>
                <w:color w:val="6C6361"/>
              </w:rPr>
              <w:t xml:space="preserve"> He also gained significant experience of multi-jurisdictional regulatory investigatio</w:t>
            </w:r>
            <w:r w:rsidRPr="00F3214B">
              <w:rPr>
                <w:rFonts w:ascii="Arial" w:hAnsi="Arial" w:cs="Arial"/>
                <w:color w:val="6C6361"/>
              </w:rPr>
              <w:t>ns and enforcement proceedings.</w:t>
            </w:r>
          </w:p>
          <w:p w:rsidR="003711F7" w:rsidRPr="00E07FE3" w:rsidRDefault="003711F7" w:rsidP="006F102A">
            <w:pPr>
              <w:pStyle w:val="NormalWeb"/>
              <w:contextualSpacing/>
              <w:rPr>
                <w:rFonts w:ascii="Arial" w:hAnsi="Arial" w:cs="Arial"/>
                <w:color w:val="6C6361"/>
                <w:sz w:val="8"/>
                <w:szCs w:val="8"/>
              </w:rPr>
            </w:pPr>
          </w:p>
          <w:p w:rsidR="003711F7" w:rsidRPr="00F3214B" w:rsidRDefault="003711F7" w:rsidP="006F102A">
            <w:pPr>
              <w:pStyle w:val="NormalWeb"/>
              <w:contextualSpacing/>
              <w:rPr>
                <w:rFonts w:ascii="Arial" w:hAnsi="Arial" w:cs="Arial"/>
                <w:color w:val="6C6361"/>
              </w:rPr>
            </w:pPr>
            <w:r w:rsidRPr="00F3214B">
              <w:rPr>
                <w:rFonts w:ascii="Arial" w:hAnsi="Arial" w:cs="Arial"/>
                <w:color w:val="6C6361"/>
              </w:rPr>
              <w:t>Peter spent his formative years in South East Asia.</w:t>
            </w:r>
          </w:p>
        </w:tc>
      </w:tr>
    </w:tbl>
    <w:p w:rsidR="003711F7" w:rsidRPr="00675A18" w:rsidRDefault="003711F7" w:rsidP="003711F7">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3711F7" w:rsidRPr="00F3214B" w:rsidTr="006F102A">
        <w:trPr>
          <w:trHeight w:val="2495"/>
          <w:jc w:val="center"/>
        </w:trPr>
        <w:tc>
          <w:tcPr>
            <w:tcW w:w="1985" w:type="dxa"/>
            <w:shd w:val="clear" w:color="auto" w:fill="FFFFFF"/>
            <w:vAlign w:val="center"/>
          </w:tcPr>
          <w:p w:rsidR="003711F7" w:rsidRPr="00F3214B" w:rsidRDefault="003711F7" w:rsidP="006F102A">
            <w:pPr>
              <w:spacing w:line="276" w:lineRule="auto"/>
              <w:contextualSpacing/>
              <w:jc w:val="center"/>
              <w:rPr>
                <w:rFonts w:ascii="Arial" w:hAnsi="Arial" w:cs="Arial"/>
                <w:sz w:val="24"/>
                <w:szCs w:val="24"/>
              </w:rPr>
            </w:pPr>
            <w:r w:rsidRPr="00F3214B">
              <w:rPr>
                <w:rFonts w:ascii="Arial" w:hAnsi="Arial" w:cs="Arial"/>
                <w:noProof/>
                <w:sz w:val="24"/>
                <w:szCs w:val="24"/>
              </w:rPr>
              <w:drawing>
                <wp:inline distT="0" distB="0" distL="0" distR="0" wp14:anchorId="680DE535" wp14:editId="781F1737">
                  <wp:extent cx="1080135" cy="1440180"/>
                  <wp:effectExtent l="19050" t="0" r="5715" b="0"/>
                  <wp:docPr id="10" name="Picture 10" descr="C:\Users\botyrone\Desktop\the.profectional.company.limited\events\EVT000000001\robert.le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8"/>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rsidR="003711F7" w:rsidRPr="00F3214B" w:rsidRDefault="003711F7" w:rsidP="006F102A">
            <w:pPr>
              <w:pStyle w:val="NormalWeb"/>
              <w:contextualSpacing/>
              <w:rPr>
                <w:rFonts w:ascii="Arial" w:hAnsi="Arial" w:cs="Arial"/>
                <w:color w:val="6C6361"/>
              </w:rPr>
            </w:pPr>
            <w:r w:rsidRPr="00F3214B">
              <w:rPr>
                <w:rFonts w:ascii="Arial" w:hAnsi="Arial" w:cs="Arial"/>
                <w:color w:val="6C6361"/>
              </w:rPr>
              <w:t>Stephentica Lee is an associate of the firm’s Litigation and Restructuring Department in Hong Kong.  She joined the firm in 2014 and has experience in general commercial litigation.  Stephentica was trained with Richards Butler before joining Allen &amp; Overy’s dispute resolution team, where she gained experience in a wide range of contentious disputes including those with regulatory and insolvency elements.</w:t>
            </w:r>
          </w:p>
        </w:tc>
      </w:tr>
    </w:tbl>
    <w:p w:rsidR="003711F7" w:rsidRPr="003711F7" w:rsidRDefault="003711F7" w:rsidP="003711F7">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5386"/>
        <w:gridCol w:w="5387"/>
      </w:tblGrid>
      <w:tr w:rsidR="003711F7" w:rsidRPr="00F3214B" w:rsidTr="006F102A">
        <w:trPr>
          <w:trHeight w:val="397"/>
          <w:jc w:val="center"/>
        </w:trPr>
        <w:tc>
          <w:tcPr>
            <w:tcW w:w="5387" w:type="dxa"/>
            <w:gridSpan w:val="2"/>
            <w:tcBorders>
              <w:top w:val="nil"/>
              <w:bottom w:val="nil"/>
            </w:tcBorders>
            <w:shd w:val="clear" w:color="auto" w:fill="F0EBE1"/>
            <w:vAlign w:val="center"/>
          </w:tcPr>
          <w:p w:rsidR="003711F7" w:rsidRPr="00F3214B" w:rsidRDefault="003711F7" w:rsidP="006F102A">
            <w:pPr>
              <w:spacing w:line="276" w:lineRule="auto"/>
              <w:rPr>
                <w:rFonts w:ascii="Arial" w:hAnsi="Arial" w:cs="Arial"/>
                <w:b/>
                <w:color w:val="524B48"/>
                <w:sz w:val="24"/>
                <w:szCs w:val="24"/>
              </w:rPr>
            </w:pPr>
            <w:r w:rsidRPr="00F3214B">
              <w:rPr>
                <w:rFonts w:ascii="Arial" w:hAnsi="Arial" w:cs="Arial"/>
                <w:b/>
                <w:color w:val="524B48"/>
                <w:sz w:val="24"/>
                <w:szCs w:val="24"/>
              </w:rPr>
              <w:t>The course will cover the followings:</w:t>
            </w:r>
          </w:p>
        </w:tc>
      </w:tr>
      <w:tr w:rsidR="003711F7" w:rsidRPr="00F3214B" w:rsidTr="006F102A">
        <w:trPr>
          <w:trHeight w:val="3046"/>
          <w:jc w:val="center"/>
        </w:trPr>
        <w:tc>
          <w:tcPr>
            <w:tcW w:w="5387" w:type="dxa"/>
            <w:tcBorders>
              <w:top w:val="nil"/>
              <w:bottom w:val="nil"/>
              <w:right w:val="nil"/>
            </w:tcBorders>
            <w:shd w:val="clear" w:color="auto" w:fill="FFFFFF" w:themeFill="background1"/>
            <w:vAlign w:val="center"/>
          </w:tcPr>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Legal systems of the BVI and Cayman</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Obtaining information from the Company Registry about offshore companies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Pre-action disclosure from third parties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Norwich Pharmacal Orders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Black Swan freezing injunctions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Bankers Trust relief</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Anton Pillar Orders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Letters of request</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Asset tracing</w:t>
            </w:r>
          </w:p>
        </w:tc>
        <w:tc>
          <w:tcPr>
            <w:tcW w:w="5387" w:type="dxa"/>
            <w:tcBorders>
              <w:top w:val="nil"/>
              <w:left w:val="nil"/>
              <w:bottom w:val="nil"/>
            </w:tcBorders>
            <w:shd w:val="clear" w:color="auto" w:fill="FFFFFF" w:themeFill="background1"/>
            <w:vAlign w:val="center"/>
          </w:tcPr>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Injunctive relief</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Appointing receivers to preserve assets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Protecting beneficial interests in offshore companies</w:t>
            </w:r>
          </w:p>
          <w:p w:rsidR="003711F7" w:rsidRPr="00F3214B" w:rsidRDefault="003711F7" w:rsidP="006F102A">
            <w:pPr>
              <w:pStyle w:val="ListParagraph"/>
              <w:numPr>
                <w:ilvl w:val="1"/>
                <w:numId w:val="1"/>
              </w:numPr>
              <w:spacing w:line="276" w:lineRule="auto"/>
              <w:rPr>
                <w:rFonts w:ascii="Arial" w:hAnsi="Arial" w:cs="Arial"/>
                <w:color w:val="6C6361"/>
                <w:sz w:val="24"/>
                <w:szCs w:val="24"/>
              </w:rPr>
            </w:pPr>
            <w:r w:rsidRPr="00F613B3">
              <w:rPr>
                <w:rFonts w:ascii="Arial" w:hAnsi="Arial" w:cs="Arial"/>
                <w:noProof/>
                <w:color w:val="6C6361"/>
                <w:sz w:val="16"/>
                <w:szCs w:val="16"/>
              </w:rPr>
              <w:drawing>
                <wp:anchor distT="0" distB="0" distL="114300" distR="114300" simplePos="0" relativeHeight="251660288" behindDoc="1" locked="0" layoutInCell="1" allowOverlap="1" wp14:anchorId="5BCA8793" wp14:editId="03BFF024">
                  <wp:simplePos x="0" y="0"/>
                  <wp:positionH relativeFrom="column">
                    <wp:posOffset>2364105</wp:posOffset>
                  </wp:positionH>
                  <wp:positionV relativeFrom="paragraph">
                    <wp:posOffset>71755</wp:posOffset>
                  </wp:positionV>
                  <wp:extent cx="889000" cy="1018540"/>
                  <wp:effectExtent l="0" t="0" r="6350" b="0"/>
                  <wp:wrapTight wrapText="bothSides">
                    <wp:wrapPolygon edited="0">
                      <wp:start x="0" y="0"/>
                      <wp:lineTo x="0" y="21007"/>
                      <wp:lineTo x="926" y="21007"/>
                      <wp:lineTo x="21291" y="21007"/>
                      <wp:lineTo x="21291" y="0"/>
                      <wp:lineTo x="194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9000"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214B">
              <w:rPr>
                <w:rFonts w:ascii="Arial" w:hAnsi="Arial" w:cs="Arial"/>
                <w:color w:val="6C6361"/>
                <w:sz w:val="24"/>
                <w:szCs w:val="24"/>
              </w:rPr>
              <w:t>Stop Notices</w:t>
            </w:r>
          </w:p>
          <w:p w:rsidR="003711F7" w:rsidRPr="00F3214B" w:rsidRDefault="003711F7" w:rsidP="006F102A">
            <w:pPr>
              <w:pStyle w:val="ListParagraph"/>
              <w:numPr>
                <w:ilvl w:val="1"/>
                <w:numId w:val="1"/>
              </w:numPr>
              <w:spacing w:line="276" w:lineRule="auto"/>
              <w:rPr>
                <w:rFonts w:ascii="Arial" w:hAnsi="Arial" w:cs="Arial"/>
                <w:color w:val="6C6361"/>
                <w:sz w:val="24"/>
                <w:szCs w:val="24"/>
              </w:rPr>
            </w:pPr>
            <w:r w:rsidRPr="00F3214B">
              <w:rPr>
                <w:rFonts w:ascii="Arial" w:hAnsi="Arial" w:cs="Arial"/>
                <w:color w:val="6C6361"/>
                <w:sz w:val="24"/>
                <w:szCs w:val="24"/>
              </w:rPr>
              <w:t>Unfair prejudice claims</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Cross border insolvency</w:t>
            </w:r>
          </w:p>
          <w:p w:rsidR="003711F7" w:rsidRPr="00F3214B" w:rsidRDefault="003711F7" w:rsidP="006F102A">
            <w:pPr>
              <w:pStyle w:val="ListParagraph"/>
              <w:numPr>
                <w:ilvl w:val="0"/>
                <w:numId w:val="1"/>
              </w:numPr>
              <w:spacing w:line="276" w:lineRule="auto"/>
              <w:rPr>
                <w:rFonts w:ascii="Arial" w:hAnsi="Arial" w:cs="Arial"/>
                <w:color w:val="6C6361"/>
                <w:sz w:val="24"/>
                <w:szCs w:val="24"/>
              </w:rPr>
            </w:pPr>
            <w:r w:rsidRPr="00F3214B">
              <w:rPr>
                <w:rFonts w:ascii="Arial" w:hAnsi="Arial" w:cs="Arial"/>
                <w:color w:val="6C6361"/>
                <w:sz w:val="24"/>
                <w:szCs w:val="24"/>
              </w:rPr>
              <w:t>Enforcement of foreign judgments and awards</w:t>
            </w:r>
          </w:p>
          <w:p w:rsidR="003711F7" w:rsidRPr="000251C3" w:rsidRDefault="003711F7" w:rsidP="000251C3">
            <w:pPr>
              <w:spacing w:line="276" w:lineRule="auto"/>
              <w:rPr>
                <w:rFonts w:ascii="Arial" w:hAnsi="Arial" w:cs="Arial"/>
                <w:color w:val="6C6361"/>
                <w:sz w:val="24"/>
                <w:szCs w:val="24"/>
              </w:rPr>
            </w:pPr>
          </w:p>
        </w:tc>
      </w:tr>
    </w:tbl>
    <w:p w:rsidR="003711F7" w:rsidRPr="003711F7" w:rsidRDefault="003711F7" w:rsidP="003711F7">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3711F7" w:rsidRPr="00B90951" w:rsidTr="006F102A">
        <w:trPr>
          <w:trHeight w:val="397"/>
          <w:jc w:val="center"/>
        </w:trPr>
        <w:tc>
          <w:tcPr>
            <w:tcW w:w="1701" w:type="dxa"/>
            <w:tcBorders>
              <w:top w:val="nil"/>
              <w:left w:val="nil"/>
              <w:bottom w:val="single" w:sz="12" w:space="0" w:color="FFFFFF"/>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EVT000000055</w:t>
            </w:r>
          </w:p>
        </w:tc>
        <w:tc>
          <w:tcPr>
            <w:tcW w:w="1701" w:type="dxa"/>
            <w:tcBorders>
              <w:top w:val="nil"/>
              <w:bottom w:val="single" w:sz="12" w:space="0" w:color="FFFFFF"/>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3711F7" w:rsidRPr="00B90951" w:rsidTr="006F102A">
        <w:trPr>
          <w:trHeight w:val="397"/>
          <w:jc w:val="center"/>
        </w:trPr>
        <w:tc>
          <w:tcPr>
            <w:tcW w:w="1701" w:type="dxa"/>
            <w:tcBorders>
              <w:top w:val="single" w:sz="12" w:space="0" w:color="FFFFFF"/>
              <w:left w:val="nil"/>
              <w:bottom w:val="single" w:sz="12" w:space="0" w:color="FFFFFF"/>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6 March</w:t>
            </w:r>
            <w:r w:rsidRPr="00B90951">
              <w:rPr>
                <w:rFonts w:ascii="Arial" w:hAnsi="Arial" w:cs="Arial"/>
                <w:b/>
                <w:color w:val="6C6361"/>
                <w:sz w:val="20"/>
                <w:szCs w:val="20"/>
              </w:rPr>
              <w:t xml:space="preserve"> 2015 (</w:t>
            </w:r>
            <w:r>
              <w:rPr>
                <w:rFonts w:ascii="Arial" w:hAnsi="Arial" w:cs="Arial"/>
                <w:b/>
                <w:color w:val="6C6361"/>
                <w:sz w:val="20"/>
                <w:szCs w:val="20"/>
              </w:rPr>
              <w:t>Friday</w:t>
            </w:r>
            <w:r w:rsidRPr="00B90951">
              <w:rPr>
                <w:rFonts w:ascii="Arial" w:hAnsi="Arial" w:cs="Arial"/>
                <w:b/>
                <w:color w:val="6C6361"/>
                <w:sz w:val="20"/>
                <w:szCs w:val="20"/>
              </w:rPr>
              <w:t>)</w:t>
            </w:r>
          </w:p>
        </w:tc>
        <w:tc>
          <w:tcPr>
            <w:tcW w:w="1701" w:type="dxa"/>
            <w:tcBorders>
              <w:top w:val="single" w:sz="12" w:space="0" w:color="FFFFFF"/>
              <w:bottom w:val="single" w:sz="12" w:space="0" w:color="FFFFFF"/>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3711F7" w:rsidRPr="00B90951" w:rsidTr="006F102A">
        <w:trPr>
          <w:trHeight w:val="397"/>
          <w:jc w:val="center"/>
        </w:trPr>
        <w:tc>
          <w:tcPr>
            <w:tcW w:w="1701" w:type="dxa"/>
            <w:tcBorders>
              <w:top w:val="single" w:sz="12" w:space="0" w:color="FFFFFF"/>
              <w:left w:val="nil"/>
              <w:bottom w:val="single" w:sz="12" w:space="0" w:color="FFFFFF"/>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B90951">
              <w:rPr>
                <w:rFonts w:ascii="Arial" w:hAnsi="Arial" w:cs="Arial"/>
                <w:b/>
                <w:color w:val="6C6361"/>
                <w:sz w:val="20"/>
                <w:szCs w:val="20"/>
              </w:rPr>
              <w:t xml:space="preserve">:30 </w:t>
            </w:r>
            <w:r>
              <w:rPr>
                <w:rFonts w:ascii="Arial" w:hAnsi="Arial" w:cs="Arial"/>
                <w:b/>
                <w:color w:val="6C6361"/>
                <w:sz w:val="20"/>
                <w:szCs w:val="20"/>
              </w:rPr>
              <w:t>-</w:t>
            </w:r>
            <w:r w:rsidRPr="00B90951">
              <w:rPr>
                <w:rFonts w:ascii="Arial" w:hAnsi="Arial" w:cs="Arial"/>
                <w:b/>
                <w:color w:val="6C6361"/>
                <w:sz w:val="20"/>
                <w:szCs w:val="20"/>
              </w:rPr>
              <w:t xml:space="preserve"> 1</w:t>
            </w:r>
            <w:r>
              <w:rPr>
                <w:rFonts w:ascii="Arial" w:hAnsi="Arial" w:cs="Arial"/>
                <w:b/>
                <w:color w:val="6C6361"/>
                <w:sz w:val="20"/>
                <w:szCs w:val="20"/>
              </w:rPr>
              <w:t>7</w:t>
            </w:r>
            <w:r w:rsidRPr="00B90951">
              <w:rPr>
                <w:rFonts w:ascii="Arial" w:hAnsi="Arial" w:cs="Arial"/>
                <w:b/>
                <w:color w:val="6C6361"/>
                <w:sz w:val="20"/>
                <w:szCs w:val="20"/>
              </w:rPr>
              <w:t>:45</w:t>
            </w:r>
          </w:p>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B90951">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3711F7"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 xml:space="preserve">LSHK </w:t>
            </w:r>
            <w:r>
              <w:rPr>
                <w:rFonts w:ascii="Arial" w:hAnsi="Arial" w:cs="Arial"/>
                <w:b/>
                <w:color w:val="6C6361"/>
                <w:sz w:val="20"/>
                <w:szCs w:val="20"/>
              </w:rPr>
              <w:t>3.0 CPD Points</w:t>
            </w:r>
          </w:p>
          <w:p w:rsidR="003711F7" w:rsidRPr="00247A0E"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color w:val="6C6361"/>
                <w:sz w:val="20"/>
                <w:szCs w:val="20"/>
              </w:rPr>
            </w:pPr>
            <w:r w:rsidRPr="00247A0E">
              <w:rPr>
                <w:rFonts w:ascii="Arial" w:hAnsi="Arial" w:cs="Arial"/>
                <w:color w:val="6C6361"/>
                <w:sz w:val="20"/>
                <w:szCs w:val="20"/>
              </w:rPr>
              <w:t>(</w:t>
            </w:r>
            <w:r>
              <w:rPr>
                <w:rFonts w:ascii="Arial" w:hAnsi="Arial" w:cs="Arial"/>
                <w:color w:val="6C6361"/>
                <w:sz w:val="20"/>
                <w:szCs w:val="20"/>
              </w:rPr>
              <w:t>LSHK Allocated Number: 20150276</w:t>
            </w:r>
            <w:r w:rsidRPr="00247A0E">
              <w:rPr>
                <w:rFonts w:ascii="Arial" w:hAnsi="Arial" w:cs="Arial"/>
                <w:color w:val="6C6361"/>
                <w:sz w:val="20"/>
                <w:szCs w:val="20"/>
              </w:rPr>
              <w:t>)</w:t>
            </w:r>
          </w:p>
        </w:tc>
      </w:tr>
      <w:tr w:rsidR="003711F7" w:rsidRPr="00B90951" w:rsidTr="006F102A">
        <w:trPr>
          <w:trHeight w:val="1247"/>
          <w:jc w:val="center"/>
        </w:trPr>
        <w:tc>
          <w:tcPr>
            <w:tcW w:w="1701" w:type="dxa"/>
            <w:tcBorders>
              <w:top w:val="single" w:sz="12" w:space="0" w:color="FFFFFF"/>
              <w:left w:val="nil"/>
              <w:bottom w:val="nil"/>
            </w:tcBorders>
            <w:shd w:val="clear" w:color="auto" w:fill="F0EBE1"/>
            <w:vAlign w:val="center"/>
          </w:tcPr>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3711F7" w:rsidRPr="00B90951" w:rsidRDefault="003711F7" w:rsidP="006F102A">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B90951">
              <w:rPr>
                <w:rFonts w:ascii="Arial" w:hAnsi="Arial" w:cs="Arial"/>
                <w:b/>
                <w:color w:val="6C6361"/>
                <w:sz w:val="20"/>
                <w:szCs w:val="20"/>
              </w:rPr>
              <w:fldChar w:fldCharType="begin"/>
            </w:r>
            <w:r w:rsidR="00FD27E0">
              <w:rPr>
                <w:rFonts w:ascii="Arial" w:hAnsi="Arial" w:cs="Arial"/>
                <w:b/>
                <w:color w:val="6C6361"/>
                <w:sz w:val="20"/>
                <w:szCs w:val="20"/>
              </w:rPr>
              <w:instrText>HYPERLINK "http://goo.gl/maps/DKYQ1"</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rsidR="003711F7" w:rsidRPr="00B9095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3711F7" w:rsidRPr="00B90951" w:rsidRDefault="003711F7" w:rsidP="006F102A">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4089F44" wp14:editId="39D2EA64">
                  <wp:extent cx="360000" cy="360000"/>
                  <wp:effectExtent l="0" t="0" r="0" b="0"/>
                  <wp:docPr id="1"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3711F7" w:rsidRPr="00B90951" w:rsidRDefault="003711F7" w:rsidP="006F102A">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3711F7" w:rsidRPr="009553A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Request for</w:t>
            </w:r>
          </w:p>
          <w:p w:rsidR="003711F7" w:rsidRPr="009553A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18"/>
              </w:rPr>
            </w:pPr>
            <w:r w:rsidRPr="009553A1">
              <w:rPr>
                <w:rFonts w:ascii="Arial" w:eastAsia="Times New Roman" w:hAnsi="Arial" w:cs="Arial"/>
                <w:noProof/>
                <w:color w:val="524B48"/>
                <w:sz w:val="20"/>
                <w:szCs w:val="18"/>
              </w:rPr>
              <w:t>Rerun:</w:t>
            </w:r>
          </w:p>
        </w:tc>
        <w:tc>
          <w:tcPr>
            <w:tcW w:w="2411" w:type="dxa"/>
            <w:tcBorders>
              <w:top w:val="single" w:sz="12" w:space="0" w:color="F0EBE1"/>
              <w:bottom w:val="nil"/>
              <w:right w:val="nil"/>
            </w:tcBorders>
            <w:shd w:val="clear" w:color="auto" w:fill="FFFFFF"/>
            <w:vAlign w:val="center"/>
          </w:tcPr>
          <w:p w:rsidR="003711F7" w:rsidRPr="009553A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 xml:space="preserve">Please </w:t>
            </w:r>
            <w:hyperlink r:id="rId22" w:history="1">
              <w:r w:rsidRPr="009553A1">
                <w:rPr>
                  <w:rStyle w:val="Hyperlink"/>
                  <w:rFonts w:ascii="Arial" w:eastAsia="Times New Roman" w:hAnsi="Arial" w:cs="Arial"/>
                  <w:b/>
                  <w:noProof/>
                  <w:color w:val="6C6361"/>
                  <w:sz w:val="20"/>
                  <w:szCs w:val="18"/>
                  <w:u w:val="none"/>
                </w:rPr>
                <w:t>Contact Us</w:t>
              </w:r>
            </w:hyperlink>
          </w:p>
          <w:p w:rsidR="003711F7" w:rsidRPr="009553A1"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18"/>
              </w:rPr>
            </w:pPr>
            <w:r w:rsidRPr="009553A1">
              <w:rPr>
                <w:rFonts w:ascii="Arial" w:eastAsia="Times New Roman" w:hAnsi="Arial" w:cs="Arial"/>
                <w:b/>
                <w:noProof/>
                <w:color w:val="6C6361"/>
                <w:sz w:val="20"/>
                <w:szCs w:val="18"/>
              </w:rPr>
              <w:t>for Details</w:t>
            </w:r>
          </w:p>
        </w:tc>
        <w:tc>
          <w:tcPr>
            <w:tcW w:w="1274" w:type="dxa"/>
            <w:tcBorders>
              <w:top w:val="single" w:sz="12" w:space="0" w:color="F0EBE1"/>
              <w:left w:val="nil"/>
              <w:bottom w:val="nil"/>
              <w:right w:val="nil"/>
            </w:tcBorders>
            <w:shd w:val="clear" w:color="auto" w:fill="FFFFFF"/>
            <w:vAlign w:val="center"/>
          </w:tcPr>
          <w:p w:rsidR="003711F7" w:rsidRPr="00156567" w:rsidRDefault="003711F7" w:rsidP="006F10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B76CD60" wp14:editId="47B1CDEA">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3711F7" w:rsidRPr="003711F7" w:rsidRDefault="003711F7" w:rsidP="003711F7">
      <w:pPr>
        <w:spacing w:line="276" w:lineRule="auto"/>
        <w:rPr>
          <w:rFonts w:ascii="Arial" w:hAnsi="Arial" w:cs="Arial"/>
          <w:sz w:val="2"/>
          <w:szCs w:val="2"/>
        </w:rPr>
      </w:pPr>
    </w:p>
    <w:sectPr w:rsidR="003711F7" w:rsidRPr="003711F7" w:rsidSect="000F34E0">
      <w:headerReference w:type="default" r:id="rId24"/>
      <w:footerReference w:type="default" r:id="rId25"/>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4B0" w:rsidRDefault="00CD74B0" w:rsidP="00546556">
      <w:r>
        <w:separator/>
      </w:r>
    </w:p>
  </w:endnote>
  <w:endnote w:type="continuationSeparator" w:id="0">
    <w:p w:rsidR="00CD74B0" w:rsidRDefault="00CD74B0"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4B0" w:rsidRDefault="00CD74B0" w:rsidP="00546556">
      <w:r>
        <w:separator/>
      </w:r>
    </w:p>
  </w:footnote>
  <w:footnote w:type="continuationSeparator" w:id="0">
    <w:p w:rsidR="00CD74B0" w:rsidRDefault="00CD74B0"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D1422ED"/>
    <w:multiLevelType w:val="hybridMultilevel"/>
    <w:tmpl w:val="41F6E1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1"/>
  </w:num>
  <w:num w:numId="5">
    <w:abstractNumId w:val="3"/>
  </w:num>
  <w:num w:numId="6">
    <w:abstractNumId w:val="13"/>
  </w:num>
  <w:num w:numId="7">
    <w:abstractNumId w:val="2"/>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VKTVtGH1sLPqOilMplJ0X2f2Un4deviR0v1hHdrMPuAOuiv/VQ7gA9bGgKUX5det5tOQWtsVIv55u9TryE0+LQ==" w:salt="ahziGehsR99GfQ7eigyVr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51C3"/>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1ADA"/>
    <w:rsid w:val="001A2375"/>
    <w:rsid w:val="001A58FC"/>
    <w:rsid w:val="001A5AC6"/>
    <w:rsid w:val="001A5B6D"/>
    <w:rsid w:val="001A6DBC"/>
    <w:rsid w:val="001A7DE6"/>
    <w:rsid w:val="001B00FA"/>
    <w:rsid w:val="001B01D2"/>
    <w:rsid w:val="001B130F"/>
    <w:rsid w:val="001B15A3"/>
    <w:rsid w:val="001B1754"/>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AC3"/>
    <w:rsid w:val="002A1D4C"/>
    <w:rsid w:val="002A3532"/>
    <w:rsid w:val="002A3537"/>
    <w:rsid w:val="002A3A3D"/>
    <w:rsid w:val="002A5B47"/>
    <w:rsid w:val="002B029C"/>
    <w:rsid w:val="002B149D"/>
    <w:rsid w:val="002B547D"/>
    <w:rsid w:val="002B7150"/>
    <w:rsid w:val="002B775A"/>
    <w:rsid w:val="002C1664"/>
    <w:rsid w:val="002C396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1F7"/>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858"/>
    <w:rsid w:val="00CD6CC6"/>
    <w:rsid w:val="00CD6DD3"/>
    <w:rsid w:val="00CD71C9"/>
    <w:rsid w:val="00CD74B0"/>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6E10"/>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27E0"/>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9095/" TargetMode="External"/><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5.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goo.gl/maps/DKYQ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055/"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emf"/><Relationship Id="rId10" Type="http://schemas.openxmlformats.org/officeDocument/2006/relationships/hyperlink" Target="http://www.profectional.com/presenters/idl000011645/"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www.profectional.com/presenters/idl000008669/" TargetMode="External"/><Relationship Id="rId14" Type="http://schemas.openxmlformats.org/officeDocument/2006/relationships/hyperlink" Target="http://www.harneys.com/" TargetMode="External"/><Relationship Id="rId22" Type="http://schemas.openxmlformats.org/officeDocument/2006/relationships/hyperlink" Target="mailto:marketing@profectional.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11.emf"/><Relationship Id="rId1" Type="http://schemas.openxmlformats.org/officeDocument/2006/relationships/hyperlink" Target="http://www.profectional.com/" TargetMode="External"/><Relationship Id="rId6" Type="http://schemas.openxmlformats.org/officeDocument/2006/relationships/image" Target="media/image12.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D7C32-0F7C-410E-9DFC-CA929976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685</Words>
  <Characters>3911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CPD Course: Police Power &amp; Voir Dire</vt:lpstr>
    </vt:vector>
  </TitlesOfParts>
  <Manager>Tyrone Tsang</Manager>
  <Company>The Profectional Company Limited</Company>
  <LinksUpToDate>false</LinksUpToDate>
  <CharactersWithSpaces>4587</CharactersWithSpaces>
  <SharedDoc>false</SharedDoc>
  <HyperlinkBase>http://download.profectional.com/events/EVT000000055.docx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Off-shore Litigation in Support of On-shore Proceedings</dc:title>
  <dc:subject>CPD Course: Off-shore Litigation in Support of On-shore Proceedings</dc:subject>
  <dc:creator>The Profectional Company Limited</dc:creator>
  <cp:keywords>Profectional; Kornerstone; CPD; CPT; CLE; CE; RME; James Noble; Partner; Peter Huth-Wallis; Senior Associate; Stephentica Lee; Associate; Harney Westwood &amp; Riegels; Harneys</cp:keywords>
  <cp:lastModifiedBy>Tyrone Tsang</cp:lastModifiedBy>
  <cp:revision>3</cp:revision>
  <cp:lastPrinted>2014-10-16T01:46:00Z</cp:lastPrinted>
  <dcterms:created xsi:type="dcterms:W3CDTF">2015-03-05T17:21:00Z</dcterms:created>
  <dcterms:modified xsi:type="dcterms:W3CDTF">2015-03-06T07:48:00Z</dcterms:modified>
</cp:coreProperties>
</file>