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023" w:rsidRPr="00074023" w:rsidRDefault="00074023" w:rsidP="0007402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74023" w:rsidRPr="00523A64" w:rsidTr="00FE6538">
        <w:trPr>
          <w:trHeight w:val="3119"/>
          <w:jc w:val="center"/>
        </w:trPr>
        <w:tc>
          <w:tcPr>
            <w:tcW w:w="4820" w:type="dxa"/>
            <w:shd w:val="clear" w:color="auto" w:fill="FFFFFF"/>
            <w:vAlign w:val="center"/>
          </w:tcPr>
          <w:p w:rsidR="00074023" w:rsidRPr="001A3018" w:rsidRDefault="00074023" w:rsidP="00FE6538">
            <w:pPr>
              <w:jc w:val="center"/>
              <w:rPr>
                <w:rFonts w:ascii="Arial" w:hAnsi="Arial" w:cs="Arial"/>
                <w:b/>
                <w:bCs/>
                <w:color w:val="524B48"/>
                <w:sz w:val="4"/>
                <w:szCs w:val="4"/>
              </w:rPr>
            </w:pPr>
          </w:p>
          <w:p w:rsidR="00074023" w:rsidRPr="00426696" w:rsidRDefault="00074023" w:rsidP="00FE6538">
            <w:pPr>
              <w:jc w:val="center"/>
              <w:rPr>
                <w:rStyle w:val="Hyperlink"/>
                <w:rFonts w:ascii="Arial" w:hAnsi="Arial" w:cs="Arial"/>
                <w:b/>
                <w:bCs/>
                <w:color w:val="524B48"/>
                <w:sz w:val="32"/>
                <w:szCs w:val="32"/>
                <w:u w:val="none"/>
              </w:rPr>
            </w:pPr>
            <w:r w:rsidRPr="00CF685C">
              <w:fldChar w:fldCharType="begin"/>
            </w:r>
            <w:r>
              <w:instrText>HYPERLINK "http://cpd.hk/evt000000065/"</w:instrText>
            </w:r>
            <w:r w:rsidRPr="00CF685C">
              <w:fldChar w:fldCharType="separate"/>
            </w:r>
            <w:r w:rsidRPr="00426696">
              <w:rPr>
                <w:rStyle w:val="Hyperlink"/>
                <w:rFonts w:ascii="Arial" w:hAnsi="Arial" w:cs="Arial"/>
                <w:b/>
                <w:bCs/>
                <w:color w:val="524B48"/>
                <w:sz w:val="32"/>
                <w:szCs w:val="32"/>
                <w:u w:val="none"/>
              </w:rPr>
              <w:t>Anti-Money Laundering</w:t>
            </w:r>
          </w:p>
          <w:p w:rsidR="00074023" w:rsidRPr="00426696"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Essentials for</w:t>
            </w:r>
          </w:p>
          <w:p w:rsidR="00074023" w:rsidRPr="00426696"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Financial Institutions</w:t>
            </w:r>
          </w:p>
          <w:p w:rsidR="00074023" w:rsidRPr="00426696"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and</w:t>
            </w:r>
          </w:p>
          <w:p w:rsidR="00074023" w:rsidRPr="00CF685C"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Licensed Corporations</w:t>
            </w:r>
          </w:p>
          <w:p w:rsidR="00074023" w:rsidRPr="00C65AFD" w:rsidRDefault="00074023" w:rsidP="00FE653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074023" w:rsidRPr="00C65AFD" w:rsidRDefault="00074023" w:rsidP="00FE6538">
            <w:pPr>
              <w:jc w:val="center"/>
              <w:rPr>
                <w:rFonts w:ascii="Arial" w:hAnsi="Arial" w:cs="Arial"/>
                <w:i/>
                <w:color w:val="6C6361"/>
                <w:sz w:val="24"/>
                <w:szCs w:val="24"/>
              </w:rPr>
            </w:pPr>
            <w:r w:rsidRPr="00C65AFD">
              <w:rPr>
                <w:rFonts w:ascii="Arial" w:hAnsi="Arial" w:cs="Arial"/>
                <w:i/>
                <w:color w:val="6C6361"/>
                <w:sz w:val="24"/>
                <w:szCs w:val="24"/>
              </w:rPr>
              <w:t>by</w:t>
            </w:r>
          </w:p>
          <w:p w:rsidR="00074023" w:rsidRDefault="00074023" w:rsidP="00FE6538">
            <w:pPr>
              <w:jc w:val="center"/>
              <w:rPr>
                <w:rFonts w:ascii="Arial" w:hAnsi="Arial" w:cs="Arial"/>
                <w:color w:val="6C6361"/>
                <w:sz w:val="24"/>
                <w:szCs w:val="24"/>
              </w:rPr>
            </w:pPr>
            <w:hyperlink r:id="rId8" w:history="1">
              <w:r w:rsidRPr="001516F2">
                <w:rPr>
                  <w:rStyle w:val="Hyperlink"/>
                  <w:rFonts w:ascii="Arial" w:hAnsi="Arial" w:cs="Arial"/>
                  <w:color w:val="6C6361"/>
                  <w:sz w:val="24"/>
                  <w:szCs w:val="24"/>
                  <w:u w:val="none"/>
                </w:rPr>
                <w:t xml:space="preserve">Mr. </w:t>
              </w:r>
              <w:r>
                <w:rPr>
                  <w:rStyle w:val="Hyperlink"/>
                  <w:rFonts w:ascii="Arial" w:hAnsi="Arial" w:cs="Arial"/>
                  <w:color w:val="6C6361"/>
                  <w:sz w:val="24"/>
                  <w:szCs w:val="24"/>
                  <w:u w:val="none"/>
                </w:rPr>
                <w:t xml:space="preserve">Gavin </w:t>
              </w:r>
              <w:proofErr w:type="spellStart"/>
              <w:r>
                <w:rPr>
                  <w:rStyle w:val="Hyperlink"/>
                  <w:rFonts w:ascii="Arial" w:hAnsi="Arial" w:cs="Arial"/>
                  <w:color w:val="6C6361"/>
                  <w:sz w:val="24"/>
                  <w:szCs w:val="24"/>
                  <w:u w:val="none"/>
                </w:rPr>
                <w:t>Shiu</w:t>
              </w:r>
              <w:proofErr w:type="spellEnd"/>
            </w:hyperlink>
            <w:r>
              <w:rPr>
                <w:rFonts w:ascii="Arial" w:hAnsi="Arial" w:cs="Arial"/>
                <w:color w:val="6C6361"/>
                <w:sz w:val="24"/>
                <w:szCs w:val="24"/>
              </w:rPr>
              <w:t>,</w:t>
            </w:r>
          </w:p>
          <w:p w:rsidR="00074023" w:rsidRDefault="00074023" w:rsidP="00FE6538">
            <w:pPr>
              <w:jc w:val="center"/>
              <w:rPr>
                <w:rFonts w:ascii="Arial" w:hAnsi="Arial" w:cs="Arial"/>
                <w:color w:val="6C6361"/>
                <w:sz w:val="24"/>
                <w:szCs w:val="24"/>
              </w:rPr>
            </w:pPr>
            <w:r>
              <w:rPr>
                <w:rFonts w:ascii="Arial" w:hAnsi="Arial" w:cs="Arial"/>
                <w:color w:val="6C6361"/>
                <w:sz w:val="24"/>
                <w:szCs w:val="24"/>
              </w:rPr>
              <w:t>Senior Assistant Director</w:t>
            </w:r>
          </w:p>
          <w:p w:rsidR="00074023" w:rsidRDefault="00074023" w:rsidP="00FE6538">
            <w:pPr>
              <w:jc w:val="center"/>
              <w:rPr>
                <w:rFonts w:ascii="Arial" w:hAnsi="Arial" w:cs="Arial"/>
                <w:color w:val="6C6361"/>
                <w:sz w:val="24"/>
                <w:szCs w:val="24"/>
              </w:rPr>
            </w:pPr>
            <w:r>
              <w:rPr>
                <w:rFonts w:ascii="Arial" w:hAnsi="Arial" w:cs="Arial"/>
                <w:color w:val="6C6361"/>
                <w:sz w:val="24"/>
                <w:szCs w:val="24"/>
              </w:rPr>
              <w:t>of Public Prosecutions,</w:t>
            </w:r>
          </w:p>
          <w:p w:rsidR="00074023" w:rsidRPr="00063609" w:rsidRDefault="00074023" w:rsidP="00FE6538">
            <w:pPr>
              <w:jc w:val="center"/>
              <w:rPr>
                <w:rFonts w:ascii="Arial" w:hAnsi="Arial" w:cs="Arial"/>
                <w:color w:val="6C6361"/>
                <w:sz w:val="24"/>
                <w:szCs w:val="24"/>
              </w:rPr>
            </w:pPr>
            <w:r w:rsidRPr="00063609">
              <w:rPr>
                <w:rFonts w:ascii="Arial" w:hAnsi="Arial" w:cs="Arial"/>
                <w:color w:val="6C6361"/>
                <w:sz w:val="24"/>
                <w:szCs w:val="24"/>
              </w:rPr>
              <w:t>Hong Kong Department of Justice</w:t>
            </w:r>
          </w:p>
          <w:p w:rsidR="00074023" w:rsidRDefault="00074023" w:rsidP="00FE6538">
            <w:pPr>
              <w:jc w:val="center"/>
              <w:rPr>
                <w:rFonts w:ascii="Arial" w:hAnsi="Arial" w:cs="Arial"/>
                <w:color w:val="6C6361"/>
                <w:sz w:val="8"/>
                <w:szCs w:val="8"/>
              </w:rPr>
            </w:pPr>
            <w:r w:rsidRPr="00063609">
              <w:rPr>
                <w:rFonts w:ascii="Arial" w:hAnsi="Arial" w:cs="Arial"/>
                <w:color w:val="6C6361"/>
                <w:sz w:val="24"/>
                <w:szCs w:val="24"/>
              </w:rPr>
              <w:t>Commercial Crime Specialist</w:t>
            </w:r>
          </w:p>
          <w:p w:rsidR="00074023" w:rsidRPr="00D87ECF" w:rsidRDefault="00074023" w:rsidP="00FE6538">
            <w:pPr>
              <w:jc w:val="center"/>
              <w:rPr>
                <w:rFonts w:ascii="Arial" w:hAnsi="Arial" w:cs="Arial"/>
                <w:color w:val="6C6361"/>
                <w:sz w:val="8"/>
                <w:szCs w:val="8"/>
              </w:rPr>
            </w:pPr>
          </w:p>
        </w:tc>
        <w:tc>
          <w:tcPr>
            <w:tcW w:w="5954" w:type="dxa"/>
            <w:shd w:val="clear" w:color="auto" w:fill="FFFFFF"/>
            <w:vAlign w:val="center"/>
          </w:tcPr>
          <w:p w:rsidR="00074023" w:rsidRPr="00D50772" w:rsidRDefault="00074023" w:rsidP="00FE6538">
            <w:pPr>
              <w:spacing w:line="276" w:lineRule="auto"/>
              <w:jc w:val="center"/>
              <w:rPr>
                <w:rFonts w:ascii="Arial" w:eastAsia="Times New Roman" w:hAnsi="Arial" w:cs="Arial"/>
                <w:noProof/>
                <w:sz w:val="20"/>
                <w:szCs w:val="20"/>
              </w:rPr>
            </w:pPr>
            <w:r w:rsidRPr="00FA0D85">
              <w:rPr>
                <w:rFonts w:ascii="Arial" w:hAnsi="Arial" w:cs="Arial"/>
                <w:i/>
                <w:noProof/>
                <w:color w:val="6C6361"/>
                <w:sz w:val="20"/>
                <w:szCs w:val="20"/>
              </w:rPr>
              <w:drawing>
                <wp:anchor distT="0" distB="0" distL="114300" distR="114300" simplePos="0" relativeHeight="251659264" behindDoc="0" locked="0" layoutInCell="1" allowOverlap="1" wp14:anchorId="688A0EFE" wp14:editId="136E07E8">
                  <wp:simplePos x="0" y="0"/>
                  <wp:positionH relativeFrom="column">
                    <wp:posOffset>3176270</wp:posOffset>
                  </wp:positionH>
                  <wp:positionV relativeFrom="paragraph">
                    <wp:posOffset>-306070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F321CC1" wp14:editId="4086114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74023" w:rsidRDefault="00074023" w:rsidP="0007402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74023" w:rsidRPr="00B745DB" w:rsidTr="00FE6538">
        <w:trPr>
          <w:trHeight w:val="5630"/>
          <w:jc w:val="center"/>
        </w:trPr>
        <w:tc>
          <w:tcPr>
            <w:tcW w:w="1985" w:type="dxa"/>
            <w:shd w:val="clear" w:color="auto" w:fill="FFFFFF"/>
            <w:vAlign w:val="center"/>
          </w:tcPr>
          <w:p w:rsidR="00074023" w:rsidRPr="00B745DB" w:rsidRDefault="00074023" w:rsidP="00FE6538">
            <w:pPr>
              <w:spacing w:line="276" w:lineRule="auto"/>
              <w:jc w:val="center"/>
              <w:rPr>
                <w:rFonts w:ascii="Arial" w:hAnsi="Arial" w:cs="Arial"/>
                <w:sz w:val="24"/>
                <w:szCs w:val="24"/>
              </w:rPr>
            </w:pPr>
            <w:r w:rsidRPr="00B745DB">
              <w:rPr>
                <w:rFonts w:ascii="Arial" w:hAnsi="Arial" w:cs="Arial"/>
                <w:noProof/>
                <w:sz w:val="24"/>
                <w:szCs w:val="24"/>
              </w:rPr>
              <w:drawing>
                <wp:inline distT="0" distB="0" distL="0" distR="0" wp14:anchorId="72517954" wp14:editId="3AA86F9F">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Over twenty years of experience with particular focus on commercial crime and corruption.</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Prosecutor having experience of serious transnational crime.</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In depth work interaction with government departments and regulatory bodies Hong Kong Police; Independent Commission Against Corruption; Customs and Excise; Financial Services and Treasury Bureau; Securities and Futures Commission; Hong Kong Monetary Authority and the Office of the Insurance Commissioner.</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Advising on the evidence needed and investigatory approaches for complicated and involved frauds and money laundering cases.</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Gavin was the legal evaluator representing Hong Kong for the joint mutual evaluation of South Korea in 2009 conducted by the Financial Action Task Force (FATF) and the Asia Pacific Group (APG).</w:t>
            </w:r>
          </w:p>
          <w:p w:rsidR="00074023"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These evaluations were to assess the respective jurisdictions' compliance with the 40 plus 9 Recommendations of FATF in respect of AML and CFT and provide comprehensive reports on same by the evaluation team.</w:t>
            </w:r>
          </w:p>
          <w:p w:rsidR="00074023" w:rsidRPr="00C46BEE"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C46BEE">
              <w:rPr>
                <w:rFonts w:ascii="Arial" w:hAnsi="Arial" w:cs="Arial"/>
                <w:color w:val="6C6361"/>
              </w:rPr>
              <w:t xml:space="preserve">Recent head of the HKSAR's Justice </w:t>
            </w:r>
            <w:proofErr w:type="spellStart"/>
            <w:r w:rsidRPr="00C46BEE">
              <w:rPr>
                <w:rFonts w:ascii="Arial" w:hAnsi="Arial" w:cs="Arial"/>
                <w:color w:val="6C6361"/>
              </w:rPr>
              <w:t>Dept's</w:t>
            </w:r>
            <w:proofErr w:type="spellEnd"/>
            <w:r w:rsidRPr="00C46BEE">
              <w:rPr>
                <w:rFonts w:ascii="Arial" w:hAnsi="Arial" w:cs="Arial"/>
                <w:color w:val="6C6361"/>
              </w:rPr>
              <w:t xml:space="preserve"> asset recovery unit responsible for confiscations and restraints of criminal assets and so closely associated with anti-money laundering advice and policy.</w:t>
            </w:r>
          </w:p>
        </w:tc>
      </w:tr>
    </w:tbl>
    <w:p w:rsidR="00074023" w:rsidRPr="00CB5116" w:rsidRDefault="00074023" w:rsidP="00074023">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074023" w:rsidRPr="00390282" w:rsidTr="00FE6538">
        <w:trPr>
          <w:trHeight w:val="2858"/>
          <w:jc w:val="center"/>
        </w:trPr>
        <w:tc>
          <w:tcPr>
            <w:tcW w:w="10773" w:type="dxa"/>
            <w:tcBorders>
              <w:top w:val="nil"/>
              <w:bottom w:val="nil"/>
            </w:tcBorders>
            <w:shd w:val="clear" w:color="auto" w:fill="FFFFFF" w:themeFill="background1"/>
            <w:vAlign w:val="center"/>
          </w:tcPr>
          <w:p w:rsidR="00074023" w:rsidRPr="00390282" w:rsidRDefault="00074023" w:rsidP="00FE6538">
            <w:pPr>
              <w:rPr>
                <w:rFonts w:ascii="Arial" w:hAnsi="Arial" w:cs="Arial"/>
                <w:color w:val="6C6361"/>
                <w:sz w:val="24"/>
                <w:szCs w:val="24"/>
              </w:rPr>
            </w:pPr>
            <w:r w:rsidRPr="00390282">
              <w:rPr>
                <w:rFonts w:ascii="Arial" w:hAnsi="Arial" w:cs="Arial"/>
                <w:color w:val="6C6361"/>
                <w:sz w:val="24"/>
                <w:szCs w:val="24"/>
              </w:rPr>
              <w:t>More than ever, financial institutions throughout the globe sit in the crosshairs of regulators seeking to enforce anti-money laundering (“AML”) and terrorist financing laws.  With the potential of investigations in one country leading to a chain reaction in other countries, possible fines of billions of US dollars and individual liability, understanding and mitigating the risk of money laundering is essential.</w:t>
            </w:r>
          </w:p>
          <w:p w:rsidR="00074023" w:rsidRPr="00390282" w:rsidRDefault="00074023" w:rsidP="00FE6538">
            <w:pPr>
              <w:rPr>
                <w:rFonts w:ascii="Arial" w:hAnsi="Arial" w:cs="Arial"/>
                <w:color w:val="6C6361"/>
                <w:sz w:val="24"/>
                <w:szCs w:val="24"/>
              </w:rPr>
            </w:pPr>
          </w:p>
          <w:p w:rsidR="00074023" w:rsidRPr="00390282" w:rsidRDefault="00074023" w:rsidP="00FE6538">
            <w:pPr>
              <w:rPr>
                <w:rFonts w:ascii="Arial" w:hAnsi="Arial" w:cs="Arial"/>
                <w:color w:val="6C6361"/>
                <w:sz w:val="24"/>
                <w:szCs w:val="24"/>
              </w:rPr>
            </w:pPr>
            <w:r w:rsidRPr="00390282">
              <w:rPr>
                <w:rFonts w:ascii="Arial" w:hAnsi="Arial" w:cs="Arial"/>
                <w:color w:val="6C6361"/>
                <w:sz w:val="24"/>
                <w:szCs w:val="24"/>
              </w:rPr>
              <w:t xml:space="preserve">In this seminar, Gavin </w:t>
            </w:r>
            <w:proofErr w:type="spellStart"/>
            <w:r w:rsidRPr="00390282">
              <w:rPr>
                <w:rFonts w:ascii="Arial" w:hAnsi="Arial" w:cs="Arial"/>
                <w:color w:val="6C6361"/>
                <w:sz w:val="24"/>
                <w:szCs w:val="24"/>
              </w:rPr>
              <w:t>Shiu</w:t>
            </w:r>
            <w:proofErr w:type="spellEnd"/>
            <w:r w:rsidRPr="00390282">
              <w:rPr>
                <w:rFonts w:ascii="Arial" w:hAnsi="Arial" w:cs="Arial"/>
                <w:color w:val="6C6361"/>
                <w:sz w:val="24"/>
                <w:szCs w:val="24"/>
              </w:rPr>
              <w:t xml:space="preserve"> of Hong Kong Department of Justice/Commercial Crime Specialist will explain the key provisions and implications of AML and terrorist financing laws in Hong Kong, AML risks, warning signs and risk mitigation.</w:t>
            </w:r>
          </w:p>
        </w:tc>
      </w:tr>
    </w:tbl>
    <w:p w:rsidR="00074023" w:rsidRDefault="00074023" w:rsidP="00074023">
      <w:pPr>
        <w:spacing w:line="276" w:lineRule="auto"/>
        <w:rPr>
          <w:rFonts w:ascii="Arial" w:hAnsi="Arial" w:cs="Arial"/>
          <w:sz w:val="20"/>
          <w:szCs w:val="20"/>
        </w:rPr>
      </w:pPr>
    </w:p>
    <w:p w:rsidR="00074023" w:rsidRDefault="00074023" w:rsidP="00074023">
      <w:pPr>
        <w:spacing w:line="276" w:lineRule="auto"/>
        <w:rPr>
          <w:rFonts w:ascii="Arial" w:hAnsi="Arial" w:cs="Arial"/>
          <w:sz w:val="20"/>
          <w:szCs w:val="20"/>
        </w:rPr>
      </w:pPr>
    </w:p>
    <w:p w:rsidR="00074023" w:rsidRDefault="00074023" w:rsidP="00074023">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49"/>
        <w:gridCol w:w="1724"/>
      </w:tblGrid>
      <w:tr w:rsidR="00074023" w:rsidRPr="00390282" w:rsidTr="00FE6538">
        <w:trPr>
          <w:trHeight w:val="397"/>
          <w:jc w:val="center"/>
        </w:trPr>
        <w:tc>
          <w:tcPr>
            <w:tcW w:w="10773" w:type="dxa"/>
            <w:gridSpan w:val="2"/>
            <w:tcBorders>
              <w:top w:val="nil"/>
              <w:bottom w:val="nil"/>
            </w:tcBorders>
            <w:shd w:val="clear" w:color="auto" w:fill="F0EBE1"/>
            <w:vAlign w:val="center"/>
          </w:tcPr>
          <w:p w:rsidR="00074023" w:rsidRPr="00390282" w:rsidRDefault="00074023" w:rsidP="00FE6538">
            <w:pPr>
              <w:rPr>
                <w:rFonts w:ascii="Arial" w:hAnsi="Arial" w:cs="Arial"/>
                <w:b/>
                <w:color w:val="524B48"/>
                <w:sz w:val="24"/>
                <w:szCs w:val="24"/>
              </w:rPr>
            </w:pPr>
            <w:r w:rsidRPr="00390282">
              <w:rPr>
                <w:rFonts w:ascii="Arial" w:hAnsi="Arial" w:cs="Arial"/>
                <w:b/>
                <w:color w:val="524B48"/>
                <w:sz w:val="24"/>
                <w:szCs w:val="24"/>
              </w:rPr>
              <w:lastRenderedPageBreak/>
              <w:t>This course will cover the followings:</w:t>
            </w:r>
          </w:p>
        </w:tc>
      </w:tr>
      <w:tr w:rsidR="00074023" w:rsidRPr="00390282" w:rsidTr="00FE6538">
        <w:trPr>
          <w:trHeight w:val="3152"/>
          <w:jc w:val="center"/>
        </w:trPr>
        <w:tc>
          <w:tcPr>
            <w:tcW w:w="9049" w:type="dxa"/>
            <w:tcBorders>
              <w:top w:val="nil"/>
              <w:bottom w:val="nil"/>
              <w:right w:val="nil"/>
            </w:tcBorders>
            <w:shd w:val="clear" w:color="auto" w:fill="FFFFFF"/>
            <w:vAlign w:val="center"/>
          </w:tcPr>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Overview of AML Laws and Terrorist Financing</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Development of AML Laws in Hong Kong and the International Perspective</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Key Provisions of Hong Kong Legislation</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SFC/HKMA Guidelines on AML and CTF</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Money Laundering Warning Signs</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Customer Due Diligence</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Internal Audit and Compliance Reviews</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Key Findings of AML Thematic Review by HKMA</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Case Studies</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AML Enforcement Trends</w:t>
            </w:r>
            <w:r>
              <w:rPr>
                <w:rFonts w:ascii="Arial" w:hAnsi="Arial" w:cs="Arial"/>
                <w:color w:val="6C6361"/>
                <w:sz w:val="24"/>
                <w:szCs w:val="24"/>
              </w:rPr>
              <w:t xml:space="preserve"> </w:t>
            </w:r>
          </w:p>
        </w:tc>
        <w:tc>
          <w:tcPr>
            <w:tcW w:w="1724" w:type="dxa"/>
            <w:tcBorders>
              <w:top w:val="nil"/>
              <w:left w:val="nil"/>
              <w:bottom w:val="nil"/>
            </w:tcBorders>
            <w:shd w:val="clear" w:color="auto" w:fill="FFFFFF"/>
            <w:vAlign w:val="center"/>
          </w:tcPr>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390282" w:rsidRDefault="00074023" w:rsidP="00FE6538">
            <w:pPr>
              <w:jc w:val="center"/>
              <w:rPr>
                <w:rFonts w:ascii="Arial" w:hAnsi="Arial" w:cs="Arial"/>
                <w:color w:val="6C6361"/>
                <w:sz w:val="24"/>
                <w:szCs w:val="24"/>
              </w:rPr>
            </w:pPr>
            <w:r w:rsidRPr="00B2647A">
              <w:rPr>
                <w:rFonts w:ascii="Arial" w:hAnsi="Arial" w:cs="Arial"/>
                <w:noProof/>
                <w:color w:val="6C6361"/>
                <w:sz w:val="21"/>
                <w:szCs w:val="21"/>
              </w:rPr>
              <w:drawing>
                <wp:inline distT="0" distB="0" distL="0" distR="0" wp14:anchorId="6ACEF403" wp14:editId="2073FB59">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074023" w:rsidRPr="009E5465" w:rsidRDefault="00074023" w:rsidP="0007402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49"/>
        <w:gridCol w:w="1336"/>
      </w:tblGrid>
      <w:tr w:rsidR="00074023" w:rsidRPr="00320F79" w:rsidTr="00FE6538">
        <w:trPr>
          <w:trHeight w:val="397"/>
          <w:jc w:val="center"/>
        </w:trPr>
        <w:tc>
          <w:tcPr>
            <w:tcW w:w="1701" w:type="dxa"/>
            <w:tcBorders>
              <w:top w:val="nil"/>
              <w:left w:val="nil"/>
              <w:bottom w:val="single" w:sz="12" w:space="0" w:color="FFFFFF"/>
            </w:tcBorders>
            <w:shd w:val="clear" w:color="auto" w:fill="F0EBE1"/>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EVT000000065</w:t>
            </w:r>
          </w:p>
        </w:tc>
        <w:tc>
          <w:tcPr>
            <w:tcW w:w="1701" w:type="dxa"/>
            <w:tcBorders>
              <w:top w:val="nil"/>
              <w:bottom w:val="single" w:sz="12" w:space="0" w:color="FFFFFF"/>
            </w:tcBorders>
            <w:shd w:val="clear" w:color="auto" w:fill="F0EBE1"/>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074023"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ED694B">
              <w:rPr>
                <w:rFonts w:ascii="Arial" w:hAnsi="Arial" w:cs="Arial"/>
                <w:b/>
                <w:color w:val="6C6361"/>
                <w:sz w:val="20"/>
                <w:szCs w:val="20"/>
              </w:rPr>
              <w:t>29 April 2015 (Wednesday)</w:t>
            </w:r>
          </w:p>
        </w:tc>
        <w:tc>
          <w:tcPr>
            <w:tcW w:w="1701" w:type="dxa"/>
            <w:tcBorders>
              <w:top w:val="single" w:sz="12" w:space="0" w:color="FFFFFF"/>
              <w:bottom w:val="single" w:sz="12" w:space="0" w:color="FFFFFF"/>
            </w:tcBorders>
            <w:shd w:val="clear" w:color="auto" w:fill="F0EBE1"/>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074023"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320F79">
              <w:rPr>
                <w:rFonts w:ascii="Arial" w:hAnsi="Arial" w:cs="Arial"/>
                <w:b/>
                <w:color w:val="6C6361"/>
                <w:sz w:val="20"/>
                <w:szCs w:val="20"/>
              </w:rPr>
              <w:t>09:30 - 12:45</w:t>
            </w:r>
          </w:p>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320F79">
              <w:rPr>
                <w:rFonts w:ascii="Arial" w:hAnsi="Arial" w:cs="Arial"/>
                <w:color w:val="6C6361"/>
                <w:sz w:val="20"/>
                <w:szCs w:val="20"/>
              </w:rPr>
              <w:t>(Reception starts at 09:00)</w:t>
            </w:r>
          </w:p>
        </w:tc>
        <w:tc>
          <w:tcPr>
            <w:tcW w:w="1701" w:type="dxa"/>
            <w:tcBorders>
              <w:top w:val="single" w:sz="12" w:space="0" w:color="FFFFFF"/>
              <w:bottom w:val="single" w:sz="12" w:space="0" w:color="FFFFFF"/>
            </w:tcBorders>
            <w:shd w:val="clear" w:color="auto" w:fill="F0EBE1"/>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074023"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RME Elective Course</w:t>
            </w:r>
          </w:p>
          <w:p w:rsidR="00074023"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p w:rsidR="00074023" w:rsidRPr="00BA7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BA7F79">
              <w:rPr>
                <w:rFonts w:ascii="Arial" w:hAnsi="Arial" w:cs="Arial"/>
                <w:color w:val="6C6361"/>
                <w:sz w:val="20"/>
                <w:szCs w:val="20"/>
              </w:rPr>
              <w:t>(</w:t>
            </w:r>
            <w:r w:rsidRPr="001731F7">
              <w:rPr>
                <w:rFonts w:ascii="Arial" w:hAnsi="Arial" w:cs="Arial"/>
                <w:color w:val="6C6361"/>
                <w:sz w:val="20"/>
                <w:szCs w:val="20"/>
              </w:rPr>
              <w:t>LSHK Allocated Number: 20150650</w:t>
            </w:r>
            <w:r w:rsidRPr="00BA7F79">
              <w:rPr>
                <w:rFonts w:ascii="Arial" w:hAnsi="Arial" w:cs="Arial"/>
                <w:color w:val="6C6361"/>
                <w:sz w:val="20"/>
                <w:szCs w:val="20"/>
              </w:rPr>
              <w:t>)</w:t>
            </w:r>
          </w:p>
          <w:p w:rsidR="00074023" w:rsidRPr="00B745DB"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074023" w:rsidRPr="00320F79" w:rsidTr="00FE6538">
        <w:trPr>
          <w:trHeight w:val="1247"/>
          <w:jc w:val="center"/>
        </w:trPr>
        <w:tc>
          <w:tcPr>
            <w:tcW w:w="1701" w:type="dxa"/>
            <w:tcBorders>
              <w:top w:val="single" w:sz="12" w:space="0" w:color="FFFFFF"/>
              <w:left w:val="nil"/>
              <w:bottom w:val="nil"/>
            </w:tcBorders>
            <w:shd w:val="clear" w:color="auto" w:fill="F0EBE1"/>
            <w:vAlign w:val="center"/>
          </w:tcPr>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074023" w:rsidRPr="00320F79" w:rsidRDefault="00074023" w:rsidP="00FE6538">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074023" w:rsidRPr="00320F79"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074023" w:rsidRDefault="00074023" w:rsidP="00FE6538">
            <w:pPr>
              <w:jc w:val="right"/>
              <w:rPr>
                <w:rFonts w:ascii="Arial" w:hAnsi="Arial" w:cs="Arial"/>
                <w:b/>
                <w:color w:val="6C6361"/>
                <w:sz w:val="20"/>
                <w:szCs w:val="20"/>
              </w:rPr>
            </w:pPr>
          </w:p>
          <w:p w:rsidR="00074023" w:rsidRDefault="00074023" w:rsidP="00FE6538">
            <w:pPr>
              <w:jc w:val="right"/>
              <w:rPr>
                <w:rFonts w:ascii="Arial" w:hAnsi="Arial" w:cs="Arial"/>
                <w:b/>
                <w:color w:val="6C6361"/>
                <w:sz w:val="20"/>
                <w:szCs w:val="20"/>
              </w:rPr>
            </w:pPr>
          </w:p>
          <w:p w:rsidR="00074023" w:rsidRPr="00320F79" w:rsidRDefault="00074023" w:rsidP="00FE6538">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1C7E3A4F" wp14:editId="318FAC49">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074023" w:rsidRPr="00E2201B" w:rsidRDefault="00074023" w:rsidP="00FE6538">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074023" w:rsidRPr="00435EDD"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Request for</w:t>
            </w:r>
          </w:p>
          <w:p w:rsidR="00074023" w:rsidRPr="00435EDD"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Rerun:</w:t>
            </w:r>
          </w:p>
        </w:tc>
        <w:tc>
          <w:tcPr>
            <w:tcW w:w="2349" w:type="dxa"/>
            <w:tcBorders>
              <w:top w:val="single" w:sz="12" w:space="0" w:color="F0EBE1"/>
              <w:bottom w:val="nil"/>
              <w:right w:val="nil"/>
            </w:tcBorders>
            <w:shd w:val="clear" w:color="auto" w:fill="FFFFFF"/>
            <w:vAlign w:val="center"/>
          </w:tcPr>
          <w:p w:rsidR="00074023" w:rsidRPr="00435EDD"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 xml:space="preserve">Please </w:t>
            </w:r>
            <w:hyperlink r:id="rId16" w:history="1">
              <w:r w:rsidRPr="00435EDD">
                <w:rPr>
                  <w:rStyle w:val="Hyperlink"/>
                  <w:rFonts w:ascii="Arial" w:eastAsia="Times New Roman" w:hAnsi="Arial" w:cs="Arial"/>
                  <w:b/>
                  <w:noProof/>
                  <w:color w:val="6C6361"/>
                  <w:sz w:val="20"/>
                  <w:szCs w:val="20"/>
                  <w:u w:val="none"/>
                </w:rPr>
                <w:t>Contact Us</w:t>
              </w:r>
            </w:hyperlink>
          </w:p>
          <w:p w:rsidR="00074023" w:rsidRPr="00435EDD"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for Details</w:t>
            </w:r>
          </w:p>
        </w:tc>
        <w:tc>
          <w:tcPr>
            <w:tcW w:w="1336" w:type="dxa"/>
            <w:tcBorders>
              <w:top w:val="single" w:sz="12" w:space="0" w:color="F0EBE1"/>
              <w:left w:val="nil"/>
              <w:bottom w:val="nil"/>
              <w:right w:val="nil"/>
            </w:tcBorders>
            <w:shd w:val="clear" w:color="auto" w:fill="FFFFFF"/>
            <w:vAlign w:val="center"/>
          </w:tcPr>
          <w:p w:rsidR="00074023" w:rsidRPr="00156567" w:rsidRDefault="00074023" w:rsidP="00FE6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FD14036" wp14:editId="499953B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sectPr w:rsidR="0007402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1852" w:rsidRDefault="00C41852" w:rsidP="00546556">
      <w:r>
        <w:separator/>
      </w:r>
    </w:p>
  </w:endnote>
  <w:endnote w:type="continuationSeparator" w:id="0">
    <w:p w:rsidR="00C41852" w:rsidRDefault="00C4185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1852" w:rsidRDefault="00C41852" w:rsidP="00546556">
      <w:r>
        <w:separator/>
      </w:r>
    </w:p>
  </w:footnote>
  <w:footnote w:type="continuationSeparator" w:id="0">
    <w:p w:rsidR="00C41852" w:rsidRDefault="00C4185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A4F7116"/>
    <w:multiLevelType w:val="hybridMultilevel"/>
    <w:tmpl w:val="472A8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4"/>
  </w:num>
  <w:num w:numId="3">
    <w:abstractNumId w:val="12"/>
  </w:num>
  <w:num w:numId="4">
    <w:abstractNumId w:val="1"/>
  </w:num>
  <w:num w:numId="5">
    <w:abstractNumId w:val="3"/>
  </w:num>
  <w:num w:numId="6">
    <w:abstractNumId w:val="13"/>
  </w:num>
  <w:num w:numId="7">
    <w:abstractNumId w:val="2"/>
  </w:num>
  <w:num w:numId="8">
    <w:abstractNumId w:val="14"/>
  </w:num>
  <w:num w:numId="9">
    <w:abstractNumId w:val="15"/>
  </w:num>
  <w:num w:numId="10">
    <w:abstractNumId w:val="10"/>
  </w:num>
  <w:num w:numId="11">
    <w:abstractNumId w:val="0"/>
  </w:num>
  <w:num w:numId="12">
    <w:abstractNumId w:val="6"/>
  </w:num>
  <w:num w:numId="13">
    <w:abstractNumId w:val="11"/>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7"/>
  <w:displayBackgroundShape/>
  <w:gutterAtTop/>
  <w:proofState w:spelling="clean" w:grammar="clean"/>
  <w:documentProtection w:edit="forms" w:enforcement="1" w:cryptProviderType="rsaAES" w:cryptAlgorithmClass="hash" w:cryptAlgorithmType="typeAny" w:cryptAlgorithmSid="14" w:cryptSpinCount="100000" w:hash="Ak34FEt8X02mOJx0br0azAOkJPVw7hP4ICWDppcHcY285qAwdDqoSdXE5R3QD4N/ptGsdQXEqjrPUn2hG5j/ow==" w:salt="d8ixLFliMX5HrCiuNhH4e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023"/>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FF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3BD"/>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D1A"/>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075E"/>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2EB4"/>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1852"/>
    <w:rsid w:val="00C467D6"/>
    <w:rsid w:val="00C47C41"/>
    <w:rsid w:val="00C5001B"/>
    <w:rsid w:val="00C503C8"/>
    <w:rsid w:val="00C50448"/>
    <w:rsid w:val="00C5121A"/>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5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6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4E25E-1553-4B91-A10A-4D6CB6B09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CPT Course: Scrutiny of SFC Landmark Cases in the Past 26 Years (1989 to 2015) - Invaluable Lessons and Insights Distilled from These Cases</vt:lpstr>
    </vt:vector>
  </TitlesOfParts>
  <Manager>Tyrone Tsang</Manager>
  <Company>The Profectional Company Limited</Company>
  <LinksUpToDate>false</LinksUpToDate>
  <CharactersWithSpaces>3089</CharactersWithSpaces>
  <SharedDoc>false</SharedDoc>
  <HyperlinkBase>http://download.profectional.com/events/EVT000000065.docx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RME Elective Course: Anti-Money Laundering Essentials for Financial Institutions and Licensed Corporations</dc:title>
  <dc:subject>CPD Course, CPT Course, RME Elective Course: Anti-Money Laundering Essentials for Financial Institutions and Licensed Corporations</dc:subject>
  <dc:creator>The Profectional Company Limited</dc:creator>
  <cp:keywords>Profectional; Kornerstone; CPD; CPT; CLE; CE; RME; Gavin Shiu; Senior Assistant Director of Public Prosecutions; Hong Kong Department of Justice; Commercial Crime Specialist</cp:keywords>
  <cp:lastModifiedBy>Tyrone Tsang</cp:lastModifiedBy>
  <cp:revision>8</cp:revision>
  <cp:lastPrinted>2015-04-20T11:33:00Z</cp:lastPrinted>
  <dcterms:created xsi:type="dcterms:W3CDTF">2015-01-21T17:25:00Z</dcterms:created>
  <dcterms:modified xsi:type="dcterms:W3CDTF">2015-04-28T15:10:00Z</dcterms:modified>
</cp:coreProperties>
</file>