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5B5" w:rsidRPr="00E265B5" w:rsidRDefault="00E265B5" w:rsidP="00E265B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265B5" w:rsidRPr="00523A64" w:rsidTr="0012595C">
        <w:trPr>
          <w:trHeight w:val="3119"/>
          <w:jc w:val="center"/>
        </w:trPr>
        <w:tc>
          <w:tcPr>
            <w:tcW w:w="4820" w:type="dxa"/>
            <w:shd w:val="clear" w:color="auto" w:fill="FFFFFF"/>
            <w:vAlign w:val="center"/>
          </w:tcPr>
          <w:p w:rsidR="00E265B5" w:rsidRPr="001A3018" w:rsidRDefault="00E265B5" w:rsidP="0012595C">
            <w:pPr>
              <w:jc w:val="center"/>
              <w:rPr>
                <w:rFonts w:ascii="Arial" w:hAnsi="Arial" w:cs="Arial"/>
                <w:b/>
                <w:bCs/>
                <w:color w:val="524B48"/>
                <w:sz w:val="4"/>
                <w:szCs w:val="4"/>
              </w:rPr>
            </w:pPr>
          </w:p>
          <w:p w:rsidR="00E265B5" w:rsidRDefault="00E265B5" w:rsidP="0012595C">
            <w:pPr>
              <w:jc w:val="center"/>
              <w:rPr>
                <w:rStyle w:val="Hyperlink"/>
                <w:rFonts w:ascii="Arial" w:hAnsi="Arial" w:cs="Arial"/>
                <w:b/>
                <w:bCs/>
                <w:color w:val="524B48"/>
                <w:sz w:val="32"/>
                <w:szCs w:val="32"/>
                <w:u w:val="none"/>
              </w:rPr>
            </w:pPr>
            <w:r w:rsidRPr="00CF685C">
              <w:fldChar w:fldCharType="begin"/>
            </w:r>
            <w:r>
              <w:instrText>HYPERLINK "http://cpd.hk/evt000000071/"</w:instrText>
            </w:r>
            <w:r w:rsidRPr="00CF685C">
              <w:fldChar w:fldCharType="separate"/>
            </w:r>
            <w:r>
              <w:rPr>
                <w:rStyle w:val="Hyperlink"/>
                <w:rFonts w:ascii="Arial" w:hAnsi="Arial" w:cs="Arial"/>
                <w:b/>
                <w:bCs/>
                <w:color w:val="524B48"/>
                <w:sz w:val="32"/>
                <w:szCs w:val="32"/>
                <w:u w:val="none"/>
              </w:rPr>
              <w:t>Quantifying</w:t>
            </w:r>
          </w:p>
          <w:p w:rsidR="00E265B5" w:rsidRDefault="00E265B5" w:rsidP="0012595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 Fatal Accident Claim</w:t>
            </w:r>
          </w:p>
          <w:p w:rsidR="00E265B5" w:rsidRPr="00CF685C" w:rsidRDefault="00E265B5" w:rsidP="0012595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Will Be the Death of Me</w:t>
            </w:r>
          </w:p>
          <w:p w:rsidR="00E265B5" w:rsidRPr="00C65AFD" w:rsidRDefault="00E265B5" w:rsidP="0012595C">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E265B5" w:rsidRPr="00C65AFD" w:rsidRDefault="00E265B5" w:rsidP="0012595C">
            <w:pPr>
              <w:jc w:val="center"/>
              <w:rPr>
                <w:rFonts w:ascii="Arial" w:hAnsi="Arial" w:cs="Arial"/>
                <w:i/>
                <w:color w:val="6C6361"/>
                <w:sz w:val="24"/>
                <w:szCs w:val="24"/>
              </w:rPr>
            </w:pPr>
            <w:r w:rsidRPr="00C65AFD">
              <w:rPr>
                <w:rFonts w:ascii="Arial" w:hAnsi="Arial" w:cs="Arial"/>
                <w:i/>
                <w:color w:val="6C6361"/>
                <w:sz w:val="24"/>
                <w:szCs w:val="24"/>
              </w:rPr>
              <w:t>by</w:t>
            </w:r>
          </w:p>
          <w:p w:rsidR="00E265B5" w:rsidRDefault="00E265B5" w:rsidP="0012595C">
            <w:pPr>
              <w:jc w:val="center"/>
              <w:rPr>
                <w:rFonts w:ascii="Arial" w:hAnsi="Arial" w:cs="Arial"/>
                <w:color w:val="6C6361"/>
                <w:sz w:val="24"/>
                <w:szCs w:val="24"/>
              </w:rPr>
            </w:pPr>
            <w:hyperlink r:id="rId8" w:history="1">
              <w:r w:rsidRPr="001516F2">
                <w:rPr>
                  <w:rStyle w:val="Hyperlink"/>
                  <w:rFonts w:ascii="Arial" w:hAnsi="Arial" w:cs="Arial"/>
                  <w:color w:val="6C6361"/>
                  <w:sz w:val="24"/>
                  <w:szCs w:val="24"/>
                  <w:u w:val="none"/>
                </w:rPr>
                <w:t xml:space="preserve">Mr. </w:t>
              </w:r>
              <w:r>
                <w:rPr>
                  <w:rStyle w:val="Hyperlink"/>
                  <w:rFonts w:ascii="Arial" w:hAnsi="Arial" w:cs="Arial"/>
                  <w:color w:val="6C6361"/>
                  <w:sz w:val="24"/>
                  <w:szCs w:val="24"/>
                  <w:u w:val="none"/>
                </w:rPr>
                <w:t xml:space="preserve">Neville </w:t>
              </w:r>
              <w:proofErr w:type="spellStart"/>
              <w:r>
                <w:rPr>
                  <w:rStyle w:val="Hyperlink"/>
                  <w:rFonts w:ascii="Arial" w:hAnsi="Arial" w:cs="Arial"/>
                  <w:color w:val="6C6361"/>
                  <w:sz w:val="24"/>
                  <w:szCs w:val="24"/>
                  <w:u w:val="none"/>
                </w:rPr>
                <w:t>Sarony</w:t>
              </w:r>
              <w:proofErr w:type="spellEnd"/>
              <w:r>
                <w:rPr>
                  <w:rStyle w:val="Hyperlink"/>
                  <w:rFonts w:ascii="Arial" w:hAnsi="Arial" w:cs="Arial"/>
                  <w:color w:val="6C6361"/>
                  <w:sz w:val="24"/>
                  <w:szCs w:val="24"/>
                  <w:u w:val="none"/>
                </w:rPr>
                <w:t>, Q.C., S.C.</w:t>
              </w:r>
            </w:hyperlink>
            <w:r>
              <w:rPr>
                <w:rFonts w:ascii="Arial" w:hAnsi="Arial" w:cs="Arial"/>
                <w:color w:val="6C6361"/>
                <w:sz w:val="24"/>
                <w:szCs w:val="24"/>
              </w:rPr>
              <w:t>,</w:t>
            </w:r>
          </w:p>
          <w:p w:rsidR="00E265B5" w:rsidRDefault="00E265B5" w:rsidP="0012595C">
            <w:pPr>
              <w:jc w:val="center"/>
              <w:rPr>
                <w:rFonts w:ascii="Arial" w:hAnsi="Arial" w:cs="Arial"/>
                <w:color w:val="6C6361"/>
                <w:sz w:val="24"/>
                <w:szCs w:val="24"/>
              </w:rPr>
            </w:pPr>
            <w:r>
              <w:rPr>
                <w:rFonts w:ascii="Arial" w:hAnsi="Arial" w:cs="Arial"/>
                <w:color w:val="6C6361"/>
                <w:sz w:val="24"/>
                <w:szCs w:val="24"/>
              </w:rPr>
              <w:t>Barrister-at-Law,</w:t>
            </w:r>
          </w:p>
          <w:p w:rsidR="00E265B5" w:rsidRDefault="00E265B5" w:rsidP="0012595C">
            <w:pPr>
              <w:jc w:val="center"/>
              <w:rPr>
                <w:rFonts w:ascii="Arial" w:hAnsi="Arial" w:cs="Arial"/>
                <w:color w:val="6C6361"/>
                <w:sz w:val="8"/>
                <w:szCs w:val="8"/>
              </w:rPr>
            </w:pPr>
            <w:r>
              <w:rPr>
                <w:rFonts w:ascii="Arial" w:hAnsi="Arial" w:cs="Arial"/>
                <w:color w:val="6C6361"/>
                <w:sz w:val="24"/>
                <w:szCs w:val="24"/>
              </w:rPr>
              <w:t>Pi Chambers</w:t>
            </w:r>
          </w:p>
          <w:p w:rsidR="00E265B5" w:rsidRPr="00D87ECF" w:rsidRDefault="00E265B5" w:rsidP="0012595C">
            <w:pPr>
              <w:jc w:val="center"/>
              <w:rPr>
                <w:rFonts w:ascii="Arial" w:hAnsi="Arial" w:cs="Arial"/>
                <w:color w:val="6C6361"/>
                <w:sz w:val="8"/>
                <w:szCs w:val="8"/>
              </w:rPr>
            </w:pPr>
          </w:p>
        </w:tc>
        <w:tc>
          <w:tcPr>
            <w:tcW w:w="5954" w:type="dxa"/>
            <w:shd w:val="clear" w:color="auto" w:fill="FFFFFF"/>
            <w:vAlign w:val="center"/>
          </w:tcPr>
          <w:p w:rsidR="00E265B5" w:rsidRPr="00D50772" w:rsidRDefault="00E265B5" w:rsidP="0012595C">
            <w:pPr>
              <w:spacing w:line="276" w:lineRule="auto"/>
              <w:jc w:val="center"/>
              <w:rPr>
                <w:rFonts w:ascii="Arial" w:eastAsia="Times New Roman" w:hAnsi="Arial" w:cs="Arial"/>
                <w:noProof/>
                <w:sz w:val="20"/>
                <w:szCs w:val="20"/>
              </w:rPr>
            </w:pPr>
            <w:r w:rsidRPr="00742224">
              <w:rPr>
                <w:rFonts w:ascii="Arial" w:hAnsi="Arial" w:cs="Arial"/>
                <w:noProof/>
                <w:color w:val="6C6361"/>
                <w:sz w:val="24"/>
                <w:szCs w:val="24"/>
              </w:rPr>
              <w:drawing>
                <wp:anchor distT="0" distB="0" distL="114300" distR="114300" simplePos="0" relativeHeight="251659264" behindDoc="0" locked="0" layoutInCell="1" allowOverlap="1" wp14:anchorId="7C902B2E" wp14:editId="41D5899C">
                  <wp:simplePos x="0" y="0"/>
                  <wp:positionH relativeFrom="column">
                    <wp:posOffset>3183890</wp:posOffset>
                  </wp:positionH>
                  <wp:positionV relativeFrom="paragraph">
                    <wp:posOffset>-61595</wp:posOffset>
                  </wp:positionV>
                  <wp:extent cx="53594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80CEFED" wp14:editId="635D312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265B5" w:rsidRPr="000315FB" w:rsidRDefault="00E265B5" w:rsidP="00E265B5">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E265B5" w:rsidRPr="004E7426" w:rsidTr="0012595C">
        <w:trPr>
          <w:trHeight w:val="4327"/>
          <w:jc w:val="center"/>
        </w:trPr>
        <w:tc>
          <w:tcPr>
            <w:tcW w:w="1985" w:type="dxa"/>
            <w:shd w:val="clear" w:color="auto" w:fill="FFFFFF"/>
            <w:vAlign w:val="center"/>
          </w:tcPr>
          <w:p w:rsidR="00E265B5" w:rsidRPr="004E7426" w:rsidRDefault="00E265B5" w:rsidP="0012595C">
            <w:pPr>
              <w:spacing w:line="276" w:lineRule="auto"/>
              <w:jc w:val="center"/>
              <w:rPr>
                <w:rFonts w:ascii="Arial" w:hAnsi="Arial" w:cs="Arial"/>
              </w:rPr>
            </w:pPr>
            <w:r w:rsidRPr="004E7426">
              <w:rPr>
                <w:rFonts w:ascii="Arial" w:hAnsi="Arial" w:cs="Arial"/>
                <w:noProof/>
              </w:rPr>
              <w:drawing>
                <wp:inline distT="0" distB="0" distL="0" distR="0" wp14:anchorId="0933D87A" wp14:editId="250466FC">
                  <wp:extent cx="1079998" cy="1439998"/>
                  <wp:effectExtent l="19050" t="0" r="5852" b="0"/>
                  <wp:docPr id="3" name="Picture 3"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stretch>
                            <a:fillRect/>
                          </a:stretch>
                        </pic:blipFill>
                        <pic:spPr>
                          <a:xfrm>
                            <a:off x="0" y="0"/>
                            <a:ext cx="1079998" cy="1439998"/>
                          </a:xfrm>
                          <a:prstGeom prst="rect">
                            <a:avLst/>
                          </a:prstGeom>
                        </pic:spPr>
                      </pic:pic>
                    </a:graphicData>
                  </a:graphic>
                </wp:inline>
              </w:drawing>
            </w:r>
          </w:p>
        </w:tc>
        <w:tc>
          <w:tcPr>
            <w:tcW w:w="8788" w:type="dxa"/>
            <w:shd w:val="clear" w:color="auto" w:fill="FFFFFF"/>
            <w:vAlign w:val="center"/>
          </w:tcPr>
          <w:p w:rsidR="00E265B5" w:rsidRPr="00297BD6" w:rsidRDefault="00E265B5" w:rsidP="00E265B5">
            <w:pPr>
              <w:pStyle w:val="NormalWeb"/>
              <w:spacing w:line="276" w:lineRule="auto"/>
              <w:jc w:val="both"/>
              <w:rPr>
                <w:rFonts w:ascii="Arial" w:hAnsi="Arial" w:cs="Arial"/>
                <w:color w:val="6C6361"/>
                <w:sz w:val="21"/>
                <w:szCs w:val="21"/>
              </w:rPr>
            </w:pPr>
            <w:r w:rsidRPr="00297BD6">
              <w:rPr>
                <w:rFonts w:ascii="Arial" w:hAnsi="Arial" w:cs="Arial"/>
                <w:b/>
                <w:color w:val="6C6361"/>
                <w:sz w:val="21"/>
                <w:szCs w:val="21"/>
              </w:rPr>
              <w:t xml:space="preserve">Mr. Neville </w:t>
            </w:r>
            <w:proofErr w:type="spellStart"/>
            <w:r w:rsidRPr="00297BD6">
              <w:rPr>
                <w:rFonts w:ascii="Arial" w:hAnsi="Arial" w:cs="Arial"/>
                <w:b/>
                <w:color w:val="6C6361"/>
                <w:sz w:val="21"/>
                <w:szCs w:val="21"/>
              </w:rPr>
              <w:t>Sarony</w:t>
            </w:r>
            <w:proofErr w:type="spellEnd"/>
            <w:r w:rsidRPr="00297BD6">
              <w:rPr>
                <w:rFonts w:ascii="Arial" w:hAnsi="Arial" w:cs="Arial"/>
                <w:b/>
                <w:color w:val="6C6361"/>
                <w:sz w:val="21"/>
                <w:szCs w:val="21"/>
              </w:rPr>
              <w:t>, Q.C., S.C.</w:t>
            </w:r>
            <w:r w:rsidRPr="00297BD6">
              <w:rPr>
                <w:rFonts w:ascii="Arial" w:hAnsi="Arial" w:cs="Arial"/>
                <w:color w:val="6C6361"/>
                <w:sz w:val="21"/>
                <w:szCs w:val="21"/>
              </w:rPr>
              <w:t xml:space="preserve"> was called to the Bar of Gray's Inn in 1964 and obtained an </w:t>
            </w:r>
            <w:proofErr w:type="gramStart"/>
            <w:r w:rsidRPr="00297BD6">
              <w:rPr>
                <w:rFonts w:ascii="Arial" w:hAnsi="Arial" w:cs="Arial"/>
                <w:color w:val="6C6361"/>
                <w:sz w:val="21"/>
                <w:szCs w:val="21"/>
              </w:rPr>
              <w:t>LLB(</w:t>
            </w:r>
            <w:proofErr w:type="spellStart"/>
            <w:proofErr w:type="gramEnd"/>
            <w:r w:rsidRPr="00297BD6">
              <w:rPr>
                <w:rFonts w:ascii="Arial" w:hAnsi="Arial" w:cs="Arial"/>
                <w:color w:val="6C6361"/>
                <w:sz w:val="21"/>
                <w:szCs w:val="21"/>
              </w:rPr>
              <w:t>Hons</w:t>
            </w:r>
            <w:proofErr w:type="spellEnd"/>
            <w:r w:rsidRPr="00297BD6">
              <w:rPr>
                <w:rFonts w:ascii="Arial" w:hAnsi="Arial" w:cs="Arial"/>
                <w:color w:val="6C6361"/>
                <w:sz w:val="21"/>
                <w:szCs w:val="21"/>
              </w:rPr>
              <w:t xml:space="preserve">) degree from the London School of Economics.  He was appointed Q.C. in 1992.  From 1992 to 2005 he was a Recorder of the Crown Court of England &amp; Wales.  He is an Advocate of the Supreme Court of Nepal and was Fractional Professor of Law, City University of Hong Kong from 2004 to 2008.  He is a past Chairman of the Personal Injury Committee of the Bar Council of Hong Kong, a member of the UK Personal Injury Bar Association and founder member of the Professional Negligence Bar Association of the English Bar.  Mr. </w:t>
            </w:r>
            <w:proofErr w:type="spellStart"/>
            <w:r w:rsidRPr="00297BD6">
              <w:rPr>
                <w:rFonts w:ascii="Arial" w:hAnsi="Arial" w:cs="Arial"/>
                <w:color w:val="6C6361"/>
                <w:sz w:val="21"/>
                <w:szCs w:val="21"/>
              </w:rPr>
              <w:t>Sarony</w:t>
            </w:r>
            <w:proofErr w:type="spellEnd"/>
            <w:r w:rsidRPr="00297BD6">
              <w:rPr>
                <w:rFonts w:ascii="Arial" w:hAnsi="Arial" w:cs="Arial"/>
                <w:color w:val="6C6361"/>
                <w:sz w:val="21"/>
                <w:szCs w:val="21"/>
              </w:rPr>
              <w:t xml:space="preserve"> was a member of the Chief Justice's Special Committee on Legal Aid.  He is General Editor of "Personal Injury Tables Hong Kong" now in its 3rd Edition and General Editor of "Tort Law &amp; Practice in Hong Kong" (3rd Edition).  He has been leading counsel in a wide variety of authoritative decisions involving personal injuries and medical negligence decided in the Privy Council, Hong Kong CFA and Court of Appeal, amongst which have been many cases involving claimants with profound brain damage, both in the UK and Hong Kong.  Mr. </w:t>
            </w:r>
            <w:proofErr w:type="spellStart"/>
            <w:r w:rsidRPr="00297BD6">
              <w:rPr>
                <w:rFonts w:ascii="Arial" w:hAnsi="Arial" w:cs="Arial"/>
                <w:color w:val="6C6361"/>
                <w:sz w:val="21"/>
                <w:szCs w:val="21"/>
              </w:rPr>
              <w:t>Sarony</w:t>
            </w:r>
            <w:proofErr w:type="spellEnd"/>
            <w:r w:rsidRPr="00297BD6">
              <w:rPr>
                <w:rFonts w:ascii="Arial" w:hAnsi="Arial" w:cs="Arial"/>
                <w:color w:val="6C6361"/>
                <w:sz w:val="21"/>
                <w:szCs w:val="21"/>
              </w:rPr>
              <w:t xml:space="preserve"> was Counsel for the Defendant in the CFA decision on quantifying loss of accumulation of wealth in Lam Pak Chiu v Tsang Mei Ying [2001] 1 HKLRD 193.</w:t>
            </w:r>
          </w:p>
        </w:tc>
      </w:tr>
    </w:tbl>
    <w:p w:rsidR="00E265B5" w:rsidRDefault="00E265B5" w:rsidP="00E265B5">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49"/>
        <w:gridCol w:w="1724"/>
      </w:tblGrid>
      <w:tr w:rsidR="00E265B5" w:rsidRPr="00297BD6" w:rsidTr="0012595C">
        <w:trPr>
          <w:trHeight w:val="397"/>
          <w:jc w:val="center"/>
        </w:trPr>
        <w:tc>
          <w:tcPr>
            <w:tcW w:w="10773" w:type="dxa"/>
            <w:gridSpan w:val="2"/>
            <w:tcBorders>
              <w:top w:val="nil"/>
              <w:bottom w:val="nil"/>
            </w:tcBorders>
            <w:shd w:val="clear" w:color="auto" w:fill="F0EBE1"/>
            <w:vAlign w:val="center"/>
          </w:tcPr>
          <w:p w:rsidR="00E265B5" w:rsidRPr="00297BD6" w:rsidRDefault="00E265B5" w:rsidP="0012595C">
            <w:pPr>
              <w:rPr>
                <w:rFonts w:ascii="Arial" w:hAnsi="Arial" w:cs="Arial"/>
                <w:b/>
                <w:color w:val="524B48"/>
                <w:sz w:val="21"/>
                <w:szCs w:val="21"/>
              </w:rPr>
            </w:pPr>
            <w:r w:rsidRPr="00297BD6">
              <w:rPr>
                <w:rFonts w:ascii="Arial" w:hAnsi="Arial" w:cs="Arial"/>
                <w:b/>
                <w:color w:val="524B48"/>
                <w:sz w:val="21"/>
                <w:szCs w:val="21"/>
              </w:rPr>
              <w:t>This course will cover the followings:</w:t>
            </w:r>
          </w:p>
        </w:tc>
      </w:tr>
      <w:tr w:rsidR="00E265B5" w:rsidRPr="00297BD6" w:rsidTr="0012595C">
        <w:trPr>
          <w:trHeight w:val="2599"/>
          <w:jc w:val="center"/>
        </w:trPr>
        <w:tc>
          <w:tcPr>
            <w:tcW w:w="9049" w:type="dxa"/>
            <w:tcBorders>
              <w:top w:val="nil"/>
              <w:bottom w:val="nil"/>
              <w:right w:val="nil"/>
            </w:tcBorders>
            <w:shd w:val="clear" w:color="auto" w:fill="FFFFFF"/>
            <w:vAlign w:val="center"/>
          </w:tcPr>
          <w:p w:rsidR="00E265B5" w:rsidRPr="00297BD6" w:rsidRDefault="00E265B5" w:rsidP="0012595C">
            <w:pPr>
              <w:pStyle w:val="ListParagraph"/>
              <w:numPr>
                <w:ilvl w:val="0"/>
                <w:numId w:val="2"/>
              </w:numPr>
              <w:rPr>
                <w:rFonts w:ascii="Arial" w:hAnsi="Arial" w:cs="Arial"/>
                <w:color w:val="6C6361"/>
                <w:sz w:val="21"/>
                <w:szCs w:val="21"/>
              </w:rPr>
            </w:pPr>
            <w:r w:rsidRPr="00297BD6">
              <w:rPr>
                <w:rFonts w:ascii="Arial" w:hAnsi="Arial" w:cs="Arial"/>
                <w:color w:val="6C6361"/>
                <w:sz w:val="21"/>
                <w:szCs w:val="21"/>
              </w:rPr>
              <w:t>Fatal accident claims generally.</w:t>
            </w:r>
          </w:p>
          <w:p w:rsidR="00E265B5" w:rsidRPr="00297BD6" w:rsidRDefault="00E265B5" w:rsidP="0012595C">
            <w:pPr>
              <w:pStyle w:val="ListParagraph"/>
              <w:numPr>
                <w:ilvl w:val="0"/>
                <w:numId w:val="2"/>
              </w:numPr>
              <w:rPr>
                <w:rFonts w:ascii="Arial" w:hAnsi="Arial" w:cs="Arial"/>
                <w:color w:val="6C6361"/>
                <w:sz w:val="21"/>
                <w:szCs w:val="21"/>
              </w:rPr>
            </w:pPr>
            <w:r w:rsidRPr="00297BD6">
              <w:rPr>
                <w:rFonts w:ascii="Arial" w:hAnsi="Arial" w:cs="Arial"/>
                <w:color w:val="6C6361"/>
                <w:sz w:val="21"/>
                <w:szCs w:val="21"/>
              </w:rPr>
              <w:t>Who is a dependent?</w:t>
            </w:r>
          </w:p>
          <w:p w:rsidR="00E265B5" w:rsidRPr="00297BD6" w:rsidRDefault="00E265B5" w:rsidP="0012595C">
            <w:pPr>
              <w:pStyle w:val="ListParagraph"/>
              <w:numPr>
                <w:ilvl w:val="0"/>
                <w:numId w:val="2"/>
              </w:numPr>
              <w:rPr>
                <w:rFonts w:ascii="Arial" w:hAnsi="Arial" w:cs="Arial"/>
                <w:color w:val="6C6361"/>
                <w:sz w:val="21"/>
                <w:szCs w:val="21"/>
              </w:rPr>
            </w:pPr>
            <w:r w:rsidRPr="00297BD6">
              <w:rPr>
                <w:rFonts w:ascii="Arial" w:hAnsi="Arial" w:cs="Arial"/>
                <w:color w:val="6C6361"/>
                <w:sz w:val="21"/>
                <w:szCs w:val="21"/>
              </w:rPr>
              <w:t>The concept of ‘dependency’</w:t>
            </w:r>
          </w:p>
          <w:p w:rsidR="00E265B5" w:rsidRPr="00297BD6" w:rsidRDefault="00E265B5" w:rsidP="0012595C">
            <w:pPr>
              <w:pStyle w:val="ListParagraph"/>
              <w:numPr>
                <w:ilvl w:val="0"/>
                <w:numId w:val="2"/>
              </w:numPr>
              <w:rPr>
                <w:rFonts w:ascii="Arial" w:hAnsi="Arial" w:cs="Arial"/>
                <w:color w:val="6C6361"/>
                <w:sz w:val="21"/>
                <w:szCs w:val="21"/>
              </w:rPr>
            </w:pPr>
            <w:r w:rsidRPr="00297BD6">
              <w:rPr>
                <w:rFonts w:ascii="Arial" w:hAnsi="Arial" w:cs="Arial"/>
                <w:color w:val="6C6361"/>
                <w:sz w:val="21"/>
                <w:szCs w:val="21"/>
              </w:rPr>
              <w:t xml:space="preserve">How are dependencies calculated: </w:t>
            </w:r>
            <w:r w:rsidRPr="00297BD6">
              <w:rPr>
                <w:rFonts w:ascii="Arial" w:hAnsi="Arial" w:cs="Arial"/>
                <w:i/>
                <w:color w:val="6C6361"/>
                <w:sz w:val="21"/>
                <w:szCs w:val="21"/>
              </w:rPr>
              <w:t>Harris v Empress Motors</w:t>
            </w:r>
            <w:r w:rsidRPr="00297BD6">
              <w:rPr>
                <w:rFonts w:ascii="Arial" w:hAnsi="Arial" w:cs="Arial"/>
                <w:color w:val="6C6361"/>
                <w:sz w:val="21"/>
                <w:szCs w:val="21"/>
              </w:rPr>
              <w:t xml:space="preserve"> or taking a microscope to the household expenses?</w:t>
            </w:r>
          </w:p>
          <w:p w:rsidR="00E265B5" w:rsidRPr="00297BD6" w:rsidRDefault="00E265B5" w:rsidP="0012595C">
            <w:pPr>
              <w:pStyle w:val="ListParagraph"/>
              <w:numPr>
                <w:ilvl w:val="0"/>
                <w:numId w:val="2"/>
              </w:numPr>
              <w:rPr>
                <w:rFonts w:ascii="Arial" w:hAnsi="Arial" w:cs="Arial"/>
                <w:color w:val="6C6361"/>
                <w:sz w:val="21"/>
                <w:szCs w:val="21"/>
              </w:rPr>
            </w:pPr>
            <w:r w:rsidRPr="00297BD6">
              <w:rPr>
                <w:rFonts w:ascii="Arial" w:hAnsi="Arial" w:cs="Arial"/>
                <w:color w:val="6C6361"/>
                <w:sz w:val="21"/>
                <w:szCs w:val="21"/>
              </w:rPr>
              <w:t xml:space="preserve">What validity is there in the </w:t>
            </w:r>
            <w:r w:rsidRPr="00297BD6">
              <w:rPr>
                <w:rFonts w:ascii="Arial" w:hAnsi="Arial" w:cs="Arial"/>
                <w:i/>
                <w:color w:val="6C6361"/>
                <w:sz w:val="21"/>
                <w:szCs w:val="21"/>
              </w:rPr>
              <w:t>Cookson v Knowles</w:t>
            </w:r>
            <w:r w:rsidRPr="00297BD6">
              <w:rPr>
                <w:rFonts w:ascii="Arial" w:hAnsi="Arial" w:cs="Arial"/>
                <w:color w:val="6C6361"/>
                <w:sz w:val="21"/>
                <w:szCs w:val="21"/>
              </w:rPr>
              <w:t xml:space="preserve"> approach to the date from which the multiplier starts to run?</w:t>
            </w:r>
          </w:p>
          <w:p w:rsidR="00E265B5" w:rsidRPr="00297BD6" w:rsidRDefault="00E265B5" w:rsidP="0012595C">
            <w:pPr>
              <w:pStyle w:val="ListParagraph"/>
              <w:numPr>
                <w:ilvl w:val="0"/>
                <w:numId w:val="2"/>
              </w:numPr>
              <w:rPr>
                <w:rFonts w:ascii="Arial" w:hAnsi="Arial" w:cs="Arial"/>
                <w:color w:val="6C6361"/>
                <w:sz w:val="21"/>
                <w:szCs w:val="21"/>
              </w:rPr>
            </w:pPr>
            <w:r w:rsidRPr="00297BD6">
              <w:rPr>
                <w:rFonts w:ascii="Arial" w:hAnsi="Arial" w:cs="Arial"/>
                <w:color w:val="6C6361"/>
                <w:sz w:val="21"/>
                <w:szCs w:val="21"/>
              </w:rPr>
              <w:t>How to divide up the differing interests of different dependencies.</w:t>
            </w:r>
          </w:p>
          <w:p w:rsidR="00E265B5" w:rsidRPr="00297BD6" w:rsidRDefault="00E265B5" w:rsidP="0012595C">
            <w:pPr>
              <w:pStyle w:val="ListParagraph"/>
              <w:numPr>
                <w:ilvl w:val="0"/>
                <w:numId w:val="2"/>
              </w:numPr>
              <w:rPr>
                <w:rFonts w:ascii="Arial" w:hAnsi="Arial" w:cs="Arial"/>
                <w:color w:val="6C6361"/>
                <w:sz w:val="21"/>
                <w:szCs w:val="21"/>
              </w:rPr>
            </w:pPr>
            <w:r w:rsidRPr="00297BD6">
              <w:rPr>
                <w:rFonts w:ascii="Arial" w:hAnsi="Arial" w:cs="Arial"/>
                <w:color w:val="6C6361"/>
                <w:sz w:val="21"/>
                <w:szCs w:val="21"/>
              </w:rPr>
              <w:t>How to use the Hong Kong P.I. Tables in a Fatal Claim.</w:t>
            </w:r>
          </w:p>
          <w:p w:rsidR="00E265B5" w:rsidRPr="00297BD6" w:rsidRDefault="00E265B5" w:rsidP="0012595C">
            <w:pPr>
              <w:pStyle w:val="ListParagraph"/>
              <w:numPr>
                <w:ilvl w:val="0"/>
                <w:numId w:val="2"/>
              </w:numPr>
              <w:rPr>
                <w:rFonts w:ascii="Arial" w:hAnsi="Arial" w:cs="Arial"/>
                <w:color w:val="6C6361"/>
                <w:sz w:val="21"/>
                <w:szCs w:val="21"/>
              </w:rPr>
            </w:pPr>
            <w:r w:rsidRPr="00297BD6">
              <w:rPr>
                <w:rFonts w:ascii="Arial" w:hAnsi="Arial" w:cs="Arial"/>
                <w:color w:val="6C6361"/>
                <w:sz w:val="21"/>
                <w:szCs w:val="21"/>
              </w:rPr>
              <w:t>A case study.</w:t>
            </w:r>
          </w:p>
        </w:tc>
        <w:tc>
          <w:tcPr>
            <w:tcW w:w="1724" w:type="dxa"/>
            <w:tcBorders>
              <w:top w:val="nil"/>
              <w:left w:val="nil"/>
              <w:bottom w:val="nil"/>
            </w:tcBorders>
            <w:shd w:val="clear" w:color="auto" w:fill="FFFFFF"/>
            <w:vAlign w:val="center"/>
          </w:tcPr>
          <w:p w:rsidR="00E265B5" w:rsidRPr="00297BD6" w:rsidRDefault="00E265B5" w:rsidP="0012595C">
            <w:pPr>
              <w:rPr>
                <w:rFonts w:ascii="Arial" w:hAnsi="Arial" w:cs="Arial"/>
                <w:color w:val="6C6361"/>
                <w:sz w:val="21"/>
                <w:szCs w:val="21"/>
              </w:rPr>
            </w:pPr>
          </w:p>
          <w:p w:rsidR="00E265B5" w:rsidRPr="00297BD6" w:rsidRDefault="00E265B5" w:rsidP="0012595C">
            <w:pPr>
              <w:rPr>
                <w:rFonts w:ascii="Arial" w:hAnsi="Arial" w:cs="Arial"/>
                <w:color w:val="6C6361"/>
                <w:sz w:val="21"/>
                <w:szCs w:val="21"/>
              </w:rPr>
            </w:pPr>
          </w:p>
          <w:p w:rsidR="00E265B5" w:rsidRPr="00297BD6" w:rsidRDefault="00E265B5" w:rsidP="0012595C">
            <w:pPr>
              <w:rPr>
                <w:rFonts w:ascii="Arial" w:hAnsi="Arial" w:cs="Arial"/>
                <w:color w:val="6C6361"/>
                <w:sz w:val="21"/>
                <w:szCs w:val="21"/>
              </w:rPr>
            </w:pPr>
          </w:p>
          <w:p w:rsidR="00E265B5" w:rsidRPr="00297BD6" w:rsidRDefault="00E265B5" w:rsidP="0012595C">
            <w:pPr>
              <w:jc w:val="center"/>
              <w:rPr>
                <w:rFonts w:ascii="Arial" w:hAnsi="Arial" w:cs="Arial"/>
                <w:color w:val="6C6361"/>
                <w:sz w:val="21"/>
                <w:szCs w:val="21"/>
              </w:rPr>
            </w:pPr>
            <w:r w:rsidRPr="00297BD6">
              <w:rPr>
                <w:rFonts w:ascii="Arial" w:hAnsi="Arial" w:cs="Arial"/>
                <w:noProof/>
                <w:color w:val="6C6361"/>
                <w:sz w:val="21"/>
                <w:szCs w:val="21"/>
              </w:rPr>
              <w:drawing>
                <wp:inline distT="0" distB="0" distL="0" distR="0" wp14:anchorId="34EFA0E6" wp14:editId="67FC58BD">
                  <wp:extent cx="896400" cy="1022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E265B5" w:rsidRPr="009E5465" w:rsidRDefault="00E265B5" w:rsidP="00E265B5">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E265B5" w:rsidRPr="00320F79" w:rsidTr="0012595C">
        <w:trPr>
          <w:trHeight w:val="397"/>
          <w:jc w:val="center"/>
        </w:trPr>
        <w:tc>
          <w:tcPr>
            <w:tcW w:w="1701" w:type="dxa"/>
            <w:tcBorders>
              <w:top w:val="nil"/>
              <w:left w:val="nil"/>
              <w:bottom w:val="single" w:sz="12" w:space="0" w:color="FFFFFF"/>
            </w:tcBorders>
            <w:shd w:val="clear" w:color="auto" w:fill="F0EBE1"/>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EVT000000071</w:t>
            </w:r>
          </w:p>
        </w:tc>
        <w:tc>
          <w:tcPr>
            <w:tcW w:w="1701" w:type="dxa"/>
            <w:tcBorders>
              <w:top w:val="nil"/>
              <w:bottom w:val="single" w:sz="12" w:space="0" w:color="FFFFFF"/>
            </w:tcBorders>
            <w:shd w:val="clear" w:color="auto" w:fill="F0EBE1"/>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265B5" w:rsidRPr="00320F79" w:rsidTr="0012595C">
        <w:trPr>
          <w:trHeight w:val="397"/>
          <w:jc w:val="center"/>
        </w:trPr>
        <w:tc>
          <w:tcPr>
            <w:tcW w:w="1701" w:type="dxa"/>
            <w:tcBorders>
              <w:top w:val="single" w:sz="12" w:space="0" w:color="FFFFFF"/>
              <w:left w:val="nil"/>
              <w:bottom w:val="single" w:sz="12" w:space="0" w:color="FFFFFF"/>
            </w:tcBorders>
            <w:shd w:val="clear" w:color="auto" w:fill="F0EBE1"/>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8 June</w:t>
            </w:r>
            <w:r w:rsidRPr="00ED694B">
              <w:rPr>
                <w:rFonts w:ascii="Arial" w:hAnsi="Arial" w:cs="Arial"/>
                <w:b/>
                <w:color w:val="6C6361"/>
                <w:sz w:val="20"/>
                <w:szCs w:val="20"/>
              </w:rPr>
              <w:t xml:space="preserve"> 2015 (</w:t>
            </w:r>
            <w:r>
              <w:rPr>
                <w:rFonts w:ascii="Arial" w:hAnsi="Arial" w:cs="Arial"/>
                <w:b/>
                <w:color w:val="6C6361"/>
                <w:sz w:val="20"/>
                <w:szCs w:val="20"/>
              </w:rPr>
              <w:t>Monday</w:t>
            </w:r>
            <w:r w:rsidRPr="00ED694B">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E265B5" w:rsidRPr="00320F79" w:rsidTr="0012595C">
        <w:trPr>
          <w:trHeight w:val="397"/>
          <w:jc w:val="center"/>
        </w:trPr>
        <w:tc>
          <w:tcPr>
            <w:tcW w:w="1701" w:type="dxa"/>
            <w:tcBorders>
              <w:top w:val="single" w:sz="12" w:space="0" w:color="FFFFFF"/>
              <w:left w:val="nil"/>
              <w:bottom w:val="single" w:sz="12" w:space="0" w:color="FFFFFF"/>
            </w:tcBorders>
            <w:shd w:val="clear" w:color="auto" w:fill="F0EBE1"/>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20F79">
              <w:rPr>
                <w:rFonts w:ascii="Arial" w:hAnsi="Arial" w:cs="Arial"/>
                <w:b/>
                <w:color w:val="6C6361"/>
                <w:sz w:val="20"/>
                <w:szCs w:val="20"/>
              </w:rPr>
              <w:t>09:30 - 12:45</w:t>
            </w:r>
          </w:p>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E265B5"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E265B5" w:rsidRPr="00E0138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E01389">
              <w:rPr>
                <w:rFonts w:ascii="Arial" w:hAnsi="Arial" w:cs="Arial"/>
                <w:color w:val="6C6361"/>
                <w:sz w:val="20"/>
                <w:szCs w:val="20"/>
              </w:rPr>
              <w:t>(LSHK Allocated Number: 20151429)</w:t>
            </w:r>
          </w:p>
        </w:tc>
      </w:tr>
      <w:tr w:rsidR="00E265B5" w:rsidRPr="00320F79" w:rsidTr="0012595C">
        <w:trPr>
          <w:trHeight w:val="1247"/>
          <w:jc w:val="center"/>
        </w:trPr>
        <w:tc>
          <w:tcPr>
            <w:tcW w:w="1701" w:type="dxa"/>
            <w:tcBorders>
              <w:top w:val="single" w:sz="12" w:space="0" w:color="FFFFFF"/>
              <w:left w:val="nil"/>
              <w:bottom w:val="nil"/>
            </w:tcBorders>
            <w:shd w:val="clear" w:color="auto" w:fill="F0EBE1"/>
            <w:vAlign w:val="center"/>
          </w:tcPr>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265B5" w:rsidRPr="00320F79" w:rsidRDefault="00E265B5" w:rsidP="0012595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E265B5" w:rsidRPr="00320F79"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265B5" w:rsidRDefault="00E265B5" w:rsidP="0012595C">
            <w:pPr>
              <w:jc w:val="right"/>
              <w:rPr>
                <w:rFonts w:ascii="Arial" w:hAnsi="Arial" w:cs="Arial"/>
                <w:b/>
                <w:color w:val="6C6361"/>
                <w:sz w:val="20"/>
                <w:szCs w:val="20"/>
              </w:rPr>
            </w:pPr>
          </w:p>
          <w:p w:rsidR="00E265B5" w:rsidRDefault="00E265B5" w:rsidP="0012595C">
            <w:pPr>
              <w:jc w:val="right"/>
              <w:rPr>
                <w:rFonts w:ascii="Arial" w:hAnsi="Arial" w:cs="Arial"/>
                <w:b/>
                <w:color w:val="6C6361"/>
                <w:sz w:val="20"/>
                <w:szCs w:val="20"/>
              </w:rPr>
            </w:pPr>
          </w:p>
          <w:p w:rsidR="00E265B5" w:rsidRPr="00320F79" w:rsidRDefault="00E265B5" w:rsidP="0012595C">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6E54BE9" wp14:editId="359E1026">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265B5" w:rsidRPr="00E2201B" w:rsidRDefault="00E265B5" w:rsidP="0012595C">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E265B5" w:rsidRPr="003A2A41"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265B5" w:rsidRPr="003A2A41"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E265B5" w:rsidRPr="003A2A41"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265B5" w:rsidRPr="003A2A41"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E265B5" w:rsidRPr="00156567" w:rsidRDefault="00E265B5" w:rsidP="00125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BDE47DE" wp14:editId="6977BC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265B5" w:rsidRDefault="00214BC6" w:rsidP="00E265B5">
      <w:pPr>
        <w:rPr>
          <w:rFonts w:ascii="Arial" w:hAnsi="Arial" w:cs="Arial"/>
          <w:sz w:val="20"/>
          <w:szCs w:val="20"/>
        </w:rPr>
      </w:pPr>
    </w:p>
    <w:sectPr w:rsidR="00214BC6" w:rsidRPr="00E265B5"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A7B" w:rsidRDefault="003C7A7B" w:rsidP="00546556">
      <w:r>
        <w:separator/>
      </w:r>
    </w:p>
  </w:endnote>
  <w:endnote w:type="continuationSeparator" w:id="0">
    <w:p w:rsidR="003C7A7B" w:rsidRDefault="003C7A7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A7B" w:rsidRDefault="003C7A7B" w:rsidP="00546556">
      <w:r>
        <w:separator/>
      </w:r>
    </w:p>
  </w:footnote>
  <w:footnote w:type="continuationSeparator" w:id="0">
    <w:p w:rsidR="003C7A7B" w:rsidRDefault="003C7A7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displayBackgroundShape/>
  <w:gutterAtTop/>
  <w:proofState w:spelling="clean" w:grammar="clean"/>
  <w:documentProtection w:edit="forms" w:enforcement="1" w:cryptProviderType="rsaAES" w:cryptAlgorithmClass="hash" w:cryptAlgorithmType="typeAny" w:cryptAlgorithmSid="14" w:cryptSpinCount="100000" w:hash="lhaZpO1Lkf6zNxcep9IuG3+QkReTLHegie/8EHlwC+tM671fS9h6Y8t+yB5mODJHwWp4QF6Q5BQ31BbCOZxRMQ==" w:salt="1i6crtWDul/WTvEHGpu4+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79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7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25453-CAF9-4FDC-8C40-59CDCD00D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CPD Course: Effective Cross-Examination Techniques</vt:lpstr>
    </vt:vector>
  </TitlesOfParts>
  <Manager>Tyrone Tsang</Manager>
  <Company>The Profectional Company Limited</Company>
  <LinksUpToDate>false</LinksUpToDate>
  <CharactersWithSpaces>2494</CharactersWithSpaces>
  <SharedDoc>false</SharedDoc>
  <HyperlinkBase>http://download.profectional.com/events/EVT000000071.docx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Quantifyinga Fatal Accident ClaimWill Be the Death of Me</dc:title>
  <dc:subject>CPD Course: Quantifyinga Fatal Accident ClaimWill Be the Death of Me</dc:subject>
  <dc:creator>The Profectional Company Limited</dc:creator>
  <cp:keywords>Profectional; Kornerstone; CPD; CPT; CLE; CE; RME; Neville Sarony, Q.C., S.C.; Barrister-at-Law; Pi Chambers</cp:keywords>
  <cp:lastModifiedBy>Tyrone Tsang</cp:lastModifiedBy>
  <cp:revision>7</cp:revision>
  <cp:lastPrinted>2015-06-06T08:18:00Z</cp:lastPrinted>
  <dcterms:created xsi:type="dcterms:W3CDTF">2015-05-28T16:24:00Z</dcterms:created>
  <dcterms:modified xsi:type="dcterms:W3CDTF">2015-06-06T08:18:00Z</dcterms:modified>
</cp:coreProperties>
</file>