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1F5" w:rsidRPr="007521F5" w:rsidRDefault="007521F5" w:rsidP="007521F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521F5" w:rsidRPr="00523A64" w:rsidTr="006F6E09">
        <w:trPr>
          <w:trHeight w:val="3119"/>
          <w:jc w:val="center"/>
        </w:trPr>
        <w:tc>
          <w:tcPr>
            <w:tcW w:w="4820" w:type="dxa"/>
            <w:shd w:val="clear" w:color="auto" w:fill="FFFFFF"/>
            <w:vAlign w:val="center"/>
          </w:tcPr>
          <w:p w:rsidR="007521F5" w:rsidRPr="001A3018" w:rsidRDefault="007521F5" w:rsidP="006F6E09">
            <w:pPr>
              <w:jc w:val="center"/>
              <w:rPr>
                <w:rFonts w:ascii="Arial" w:hAnsi="Arial" w:cs="Arial"/>
                <w:b/>
                <w:bCs/>
                <w:color w:val="524B48"/>
                <w:sz w:val="4"/>
                <w:szCs w:val="4"/>
              </w:rPr>
            </w:pPr>
          </w:p>
          <w:p w:rsidR="007521F5" w:rsidRDefault="007521F5" w:rsidP="006F6E09">
            <w:pPr>
              <w:jc w:val="center"/>
              <w:rPr>
                <w:rStyle w:val="Hyperlink"/>
                <w:rFonts w:ascii="Arial" w:hAnsi="Arial" w:cs="Arial"/>
                <w:b/>
                <w:bCs/>
                <w:color w:val="524B48"/>
                <w:sz w:val="32"/>
                <w:szCs w:val="32"/>
                <w:u w:val="none"/>
              </w:rPr>
            </w:pPr>
            <w:r w:rsidRPr="00CF685C">
              <w:fldChar w:fldCharType="begin"/>
            </w:r>
            <w:r>
              <w:instrText>HYPERLINK "http://cpd.hk/evt000000074/"</w:instrText>
            </w:r>
            <w:r w:rsidRPr="00CF685C">
              <w:fldChar w:fldCharType="separate"/>
            </w:r>
            <w:r>
              <w:rPr>
                <w:rStyle w:val="Hyperlink"/>
                <w:rFonts w:ascii="Arial" w:hAnsi="Arial" w:cs="Arial"/>
                <w:b/>
                <w:bCs/>
                <w:color w:val="524B48"/>
                <w:sz w:val="32"/>
                <w:szCs w:val="32"/>
                <w:u w:val="none"/>
              </w:rPr>
              <w:t>Joint Venture and</w:t>
            </w:r>
          </w:p>
          <w:p w:rsidR="007521F5" w:rsidRDefault="007521F5" w:rsidP="006F6E0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Shareholders Agreements,</w:t>
            </w:r>
          </w:p>
          <w:p w:rsidR="007521F5" w:rsidRDefault="007521F5" w:rsidP="006F6E0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Expansion Capital</w:t>
            </w:r>
          </w:p>
          <w:p w:rsidR="007521F5" w:rsidRPr="00CF685C" w:rsidRDefault="007521F5" w:rsidP="006F6E0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Private Equity</w:t>
            </w:r>
          </w:p>
          <w:p w:rsidR="007521F5" w:rsidRPr="00C65AFD" w:rsidRDefault="007521F5" w:rsidP="006F6E0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7521F5" w:rsidRPr="00C65AFD" w:rsidRDefault="007521F5" w:rsidP="006F6E09">
            <w:pPr>
              <w:jc w:val="center"/>
              <w:rPr>
                <w:rFonts w:ascii="Arial" w:hAnsi="Arial" w:cs="Arial"/>
                <w:i/>
                <w:color w:val="6C6361"/>
                <w:sz w:val="24"/>
                <w:szCs w:val="24"/>
              </w:rPr>
            </w:pPr>
            <w:r w:rsidRPr="00C65AFD">
              <w:rPr>
                <w:rFonts w:ascii="Arial" w:hAnsi="Arial" w:cs="Arial"/>
                <w:i/>
                <w:color w:val="6C6361"/>
                <w:sz w:val="24"/>
                <w:szCs w:val="24"/>
              </w:rPr>
              <w:t>by</w:t>
            </w:r>
          </w:p>
          <w:p w:rsidR="007521F5" w:rsidRDefault="007521F5" w:rsidP="006F6E09">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Mr. Guy </w:t>
              </w:r>
              <w:proofErr w:type="spellStart"/>
              <w:r>
                <w:rPr>
                  <w:rStyle w:val="Hyperlink"/>
                  <w:rFonts w:ascii="Arial" w:hAnsi="Arial" w:cs="Arial"/>
                  <w:color w:val="6C6361"/>
                  <w:sz w:val="24"/>
                  <w:szCs w:val="24"/>
                  <w:u w:val="none"/>
                </w:rPr>
                <w:t>Facey</w:t>
              </w:r>
              <w:proofErr w:type="spellEnd"/>
            </w:hyperlink>
            <w:r>
              <w:rPr>
                <w:rStyle w:val="Hyperlink"/>
                <w:rFonts w:ascii="Arial" w:hAnsi="Arial" w:cs="Arial"/>
                <w:color w:val="6C6361"/>
                <w:sz w:val="24"/>
                <w:szCs w:val="24"/>
                <w:u w:val="none"/>
              </w:rPr>
              <w:t>,</w:t>
            </w:r>
          </w:p>
          <w:p w:rsidR="007521F5" w:rsidRDefault="007521F5" w:rsidP="006F6E09">
            <w:pPr>
              <w:spacing w:line="276" w:lineRule="auto"/>
              <w:jc w:val="center"/>
              <w:rPr>
                <w:rFonts w:ascii="Arial" w:hAnsi="Arial" w:cs="Arial"/>
                <w:color w:val="6C6361"/>
                <w:sz w:val="24"/>
                <w:szCs w:val="24"/>
              </w:rPr>
            </w:pPr>
            <w:r>
              <w:rPr>
                <w:rFonts w:ascii="Arial" w:hAnsi="Arial" w:cs="Arial"/>
                <w:color w:val="6C6361"/>
                <w:sz w:val="24"/>
                <w:szCs w:val="24"/>
              </w:rPr>
              <w:t>Partner,</w:t>
            </w:r>
          </w:p>
          <w:p w:rsidR="007521F5" w:rsidRDefault="007521F5" w:rsidP="006F6E09">
            <w:pPr>
              <w:spacing w:line="276" w:lineRule="auto"/>
              <w:jc w:val="center"/>
              <w:rPr>
                <w:rFonts w:ascii="Arial" w:hAnsi="Arial" w:cs="Arial"/>
                <w:color w:val="6C6361"/>
                <w:sz w:val="24"/>
                <w:szCs w:val="24"/>
              </w:rPr>
            </w:pPr>
            <w:proofErr w:type="spellStart"/>
            <w:r>
              <w:rPr>
                <w:rFonts w:ascii="Arial" w:hAnsi="Arial" w:cs="Arial"/>
                <w:color w:val="6C6361"/>
                <w:sz w:val="24"/>
                <w:szCs w:val="24"/>
              </w:rPr>
              <w:t>Facey</w:t>
            </w:r>
            <w:proofErr w:type="spellEnd"/>
            <w:r>
              <w:rPr>
                <w:rFonts w:ascii="Arial" w:hAnsi="Arial" w:cs="Arial"/>
                <w:color w:val="6C6361"/>
                <w:sz w:val="24"/>
                <w:szCs w:val="24"/>
              </w:rPr>
              <w:t xml:space="preserve"> &amp; Associates</w:t>
            </w:r>
          </w:p>
          <w:p w:rsidR="007521F5" w:rsidRPr="00D87ECF" w:rsidRDefault="007521F5" w:rsidP="006F6E09">
            <w:pPr>
              <w:jc w:val="center"/>
              <w:rPr>
                <w:rFonts w:ascii="Arial" w:hAnsi="Arial" w:cs="Arial"/>
                <w:color w:val="6C6361"/>
                <w:sz w:val="8"/>
                <w:szCs w:val="8"/>
              </w:rPr>
            </w:pPr>
          </w:p>
        </w:tc>
        <w:tc>
          <w:tcPr>
            <w:tcW w:w="5954" w:type="dxa"/>
            <w:shd w:val="clear" w:color="auto" w:fill="FFFFFF"/>
            <w:vAlign w:val="center"/>
          </w:tcPr>
          <w:p w:rsidR="007521F5" w:rsidRPr="00D50772" w:rsidRDefault="007521F5" w:rsidP="006F6E09">
            <w:pPr>
              <w:spacing w:line="276" w:lineRule="auto"/>
              <w:jc w:val="center"/>
              <w:rPr>
                <w:rFonts w:ascii="Arial" w:eastAsia="Times New Roman" w:hAnsi="Arial" w:cs="Arial"/>
                <w:noProof/>
                <w:sz w:val="20"/>
                <w:szCs w:val="20"/>
              </w:rPr>
            </w:pPr>
            <w:r w:rsidRPr="0093612C">
              <w:rPr>
                <w:rFonts w:ascii="Arial" w:hAnsi="Arial" w:cs="Arial"/>
                <w:noProof/>
                <w:color w:val="6C6361"/>
                <w:sz w:val="24"/>
                <w:szCs w:val="24"/>
              </w:rPr>
              <w:drawing>
                <wp:anchor distT="0" distB="0" distL="114300" distR="114300" simplePos="0" relativeHeight="251659264" behindDoc="0" locked="0" layoutInCell="1" allowOverlap="1" wp14:anchorId="3E12218C" wp14:editId="589DCC27">
                  <wp:simplePos x="0" y="0"/>
                  <wp:positionH relativeFrom="column">
                    <wp:posOffset>3181350</wp:posOffset>
                  </wp:positionH>
                  <wp:positionV relativeFrom="paragraph">
                    <wp:posOffset>-61595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anchor>
              </w:drawing>
            </w:r>
            <w:r>
              <w:rPr>
                <w:rFonts w:ascii="Arial" w:eastAsia="Times New Roman" w:hAnsi="Arial" w:cs="Arial"/>
                <w:noProof/>
                <w:sz w:val="20"/>
                <w:szCs w:val="20"/>
              </w:rPr>
              <w:drawing>
                <wp:inline distT="0" distB="0" distL="0" distR="0" wp14:anchorId="38ADDB45" wp14:editId="00C1BD83">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521F5" w:rsidRPr="00F46B29" w:rsidRDefault="007521F5" w:rsidP="007521F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521F5" w:rsidRPr="00A539DD" w:rsidTr="006F6E09">
        <w:trPr>
          <w:trHeight w:val="7518"/>
          <w:jc w:val="center"/>
        </w:trPr>
        <w:tc>
          <w:tcPr>
            <w:tcW w:w="1985" w:type="dxa"/>
            <w:shd w:val="clear" w:color="auto" w:fill="FFFFFF"/>
            <w:vAlign w:val="center"/>
          </w:tcPr>
          <w:p w:rsidR="007521F5" w:rsidRPr="00A539DD" w:rsidRDefault="007521F5" w:rsidP="006F6E09">
            <w:pPr>
              <w:spacing w:line="276" w:lineRule="auto"/>
              <w:jc w:val="center"/>
              <w:rPr>
                <w:rFonts w:ascii="Arial" w:hAnsi="Arial" w:cs="Arial"/>
                <w:sz w:val="21"/>
                <w:szCs w:val="21"/>
              </w:rPr>
            </w:pPr>
            <w:r w:rsidRPr="00A539DD">
              <w:rPr>
                <w:rFonts w:ascii="Arial" w:hAnsi="Arial" w:cs="Arial"/>
                <w:noProof/>
                <w:sz w:val="21"/>
                <w:szCs w:val="21"/>
              </w:rPr>
              <w:drawing>
                <wp:inline distT="0" distB="0" distL="0" distR="0" wp14:anchorId="238FFD18" wp14:editId="65ED4587">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521F5" w:rsidRPr="00D80EC8" w:rsidRDefault="007521F5" w:rsidP="006F6E09">
            <w:pPr>
              <w:rPr>
                <w:rFonts w:ascii="Arial" w:hAnsi="Arial" w:cs="Arial"/>
                <w:color w:val="6C6361"/>
                <w:sz w:val="24"/>
                <w:szCs w:val="24"/>
              </w:rPr>
            </w:pPr>
            <w:r w:rsidRPr="00D80EC8">
              <w:rPr>
                <w:rFonts w:ascii="Arial" w:hAnsi="Arial" w:cs="Arial"/>
                <w:color w:val="6C6361"/>
                <w:sz w:val="24"/>
                <w:szCs w:val="24"/>
              </w:rPr>
              <w:t>English and Hong Kong qualified lawyer with 30 years' experience.  Trained in a tier one global law firm in London, twice in-house in industry in leading aerospace and automotive engineering groups and worked in the first mainland Chinese law firm in London.  Has set up and run two companies.  Guy has worked with Asia and particularly China since the mid-1980's first in Hong Kong and then in London, returning to Hong Kong in 2008.  He passionately believes in helping mid-cap companies and entrepreneurs of all sizes and using his languages to cross cultural boundaries.</w:t>
            </w:r>
          </w:p>
          <w:p w:rsidR="007521F5" w:rsidRPr="00D80EC8" w:rsidRDefault="007521F5" w:rsidP="006F6E09">
            <w:pPr>
              <w:rPr>
                <w:rFonts w:ascii="Arial" w:hAnsi="Arial" w:cs="Arial"/>
                <w:color w:val="6C6361"/>
                <w:sz w:val="24"/>
                <w:szCs w:val="24"/>
              </w:rPr>
            </w:pPr>
          </w:p>
          <w:p w:rsidR="007521F5" w:rsidRPr="00D80EC8" w:rsidRDefault="007521F5" w:rsidP="006F6E09">
            <w:pPr>
              <w:rPr>
                <w:rFonts w:ascii="Arial" w:hAnsi="Arial" w:cs="Arial"/>
                <w:color w:val="6C6361"/>
                <w:sz w:val="24"/>
                <w:szCs w:val="24"/>
              </w:rPr>
            </w:pPr>
            <w:r w:rsidRPr="00D80EC8">
              <w:rPr>
                <w:rFonts w:ascii="Arial" w:hAnsi="Arial" w:cs="Arial"/>
                <w:color w:val="6C6361"/>
                <w:sz w:val="24"/>
                <w:szCs w:val="24"/>
              </w:rPr>
              <w:t>Corporate advice to mid-caps and growing technology companies (M&amp;A, structuring, JVs, acceleration capital and private equity).</w:t>
            </w:r>
          </w:p>
          <w:p w:rsidR="007521F5" w:rsidRPr="00D80EC8" w:rsidRDefault="007521F5" w:rsidP="006F6E09">
            <w:pPr>
              <w:rPr>
                <w:rFonts w:ascii="Arial" w:hAnsi="Arial" w:cs="Arial"/>
                <w:color w:val="6C6361"/>
                <w:sz w:val="24"/>
                <w:szCs w:val="24"/>
              </w:rPr>
            </w:pPr>
          </w:p>
          <w:p w:rsidR="007521F5" w:rsidRPr="00D80EC8" w:rsidRDefault="007521F5" w:rsidP="006F6E09">
            <w:pPr>
              <w:rPr>
                <w:rFonts w:ascii="Arial" w:hAnsi="Arial" w:cs="Arial"/>
                <w:color w:val="6C6361"/>
                <w:sz w:val="24"/>
                <w:szCs w:val="24"/>
              </w:rPr>
            </w:pPr>
            <w:r w:rsidRPr="00D80EC8">
              <w:rPr>
                <w:rFonts w:ascii="Arial" w:hAnsi="Arial" w:cs="Arial"/>
                <w:color w:val="6C6361"/>
                <w:sz w:val="24"/>
                <w:szCs w:val="24"/>
              </w:rPr>
              <w:t>Investments in Asia particularly China and investments from China in the UK/Europe.</w:t>
            </w:r>
          </w:p>
          <w:p w:rsidR="007521F5" w:rsidRPr="00D80EC8" w:rsidRDefault="007521F5" w:rsidP="006F6E09">
            <w:pPr>
              <w:rPr>
                <w:rFonts w:ascii="Arial" w:hAnsi="Arial" w:cs="Arial"/>
                <w:color w:val="6C6361"/>
                <w:sz w:val="24"/>
                <w:szCs w:val="24"/>
              </w:rPr>
            </w:pPr>
          </w:p>
          <w:p w:rsidR="007521F5" w:rsidRDefault="007521F5" w:rsidP="006F6E09">
            <w:pPr>
              <w:rPr>
                <w:rFonts w:ascii="Arial" w:hAnsi="Arial" w:cs="Arial"/>
                <w:color w:val="6C6361"/>
                <w:sz w:val="24"/>
                <w:szCs w:val="24"/>
              </w:rPr>
            </w:pPr>
            <w:r>
              <w:rPr>
                <w:rFonts w:ascii="Arial" w:hAnsi="Arial" w:cs="Arial"/>
                <w:color w:val="6C6361"/>
                <w:sz w:val="24"/>
                <w:szCs w:val="24"/>
              </w:rPr>
              <w:t>Industries:</w:t>
            </w:r>
          </w:p>
          <w:p w:rsidR="007521F5" w:rsidRPr="00D80EC8" w:rsidRDefault="007521F5" w:rsidP="006F6E09">
            <w:pPr>
              <w:pStyle w:val="ListParagraph"/>
              <w:numPr>
                <w:ilvl w:val="0"/>
                <w:numId w:val="2"/>
              </w:numPr>
              <w:rPr>
                <w:rFonts w:ascii="Arial" w:hAnsi="Arial" w:cs="Arial"/>
                <w:b/>
                <w:color w:val="6C6361"/>
                <w:u w:val="single"/>
              </w:rPr>
            </w:pPr>
            <w:r w:rsidRPr="00D80EC8">
              <w:rPr>
                <w:rFonts w:ascii="Arial" w:hAnsi="Arial" w:cs="Arial"/>
                <w:color w:val="6C6361"/>
                <w:sz w:val="24"/>
                <w:szCs w:val="24"/>
              </w:rPr>
              <w:t>Manufacturing and engineering (especially aerospace and aviation)</w:t>
            </w:r>
          </w:p>
          <w:p w:rsidR="007521F5" w:rsidRPr="00D80EC8" w:rsidRDefault="007521F5" w:rsidP="006F6E09">
            <w:pPr>
              <w:pStyle w:val="ListParagraph"/>
              <w:numPr>
                <w:ilvl w:val="0"/>
                <w:numId w:val="2"/>
              </w:numPr>
              <w:rPr>
                <w:rFonts w:ascii="Arial" w:hAnsi="Arial" w:cs="Arial"/>
                <w:b/>
                <w:color w:val="6C6361"/>
                <w:u w:val="single"/>
              </w:rPr>
            </w:pPr>
            <w:r w:rsidRPr="00D80EC8">
              <w:rPr>
                <w:rFonts w:ascii="Arial" w:hAnsi="Arial" w:cs="Arial"/>
                <w:color w:val="6C6361"/>
                <w:sz w:val="24"/>
                <w:szCs w:val="24"/>
              </w:rPr>
              <w:t>Luxury brands (especially corporate jets, yachts, watches).</w:t>
            </w:r>
          </w:p>
          <w:p w:rsidR="007521F5" w:rsidRPr="00D80EC8" w:rsidRDefault="007521F5" w:rsidP="006F6E09">
            <w:pPr>
              <w:rPr>
                <w:rFonts w:ascii="Arial" w:hAnsi="Arial" w:cs="Arial"/>
                <w:color w:val="6C6361"/>
                <w:sz w:val="24"/>
                <w:szCs w:val="24"/>
              </w:rPr>
            </w:pPr>
          </w:p>
          <w:p w:rsidR="007521F5" w:rsidRPr="00D80EC8" w:rsidRDefault="007521F5" w:rsidP="006F6E09">
            <w:pPr>
              <w:rPr>
                <w:rFonts w:ascii="Arial" w:hAnsi="Arial" w:cs="Arial"/>
                <w:color w:val="6C6361"/>
                <w:sz w:val="24"/>
                <w:szCs w:val="24"/>
              </w:rPr>
            </w:pPr>
            <w:r w:rsidRPr="00D80EC8">
              <w:rPr>
                <w:rFonts w:ascii="Arial" w:hAnsi="Arial" w:cs="Arial"/>
                <w:color w:val="6C6361"/>
                <w:sz w:val="24"/>
                <w:szCs w:val="24"/>
              </w:rPr>
              <w:t>Countries: USA, UK and Europe (mostly France and Italy).</w:t>
            </w:r>
          </w:p>
          <w:p w:rsidR="007521F5" w:rsidRPr="00D80EC8" w:rsidRDefault="007521F5" w:rsidP="006F6E09">
            <w:pPr>
              <w:rPr>
                <w:rFonts w:ascii="Arial" w:hAnsi="Arial" w:cs="Arial"/>
                <w:color w:val="6C6361"/>
                <w:sz w:val="24"/>
                <w:szCs w:val="24"/>
              </w:rPr>
            </w:pPr>
          </w:p>
          <w:p w:rsidR="007521F5" w:rsidRPr="00D80EC8" w:rsidRDefault="007521F5" w:rsidP="006F6E09">
            <w:pPr>
              <w:rPr>
                <w:rFonts w:ascii="Arial" w:hAnsi="Arial" w:cs="Arial"/>
                <w:color w:val="6C6361"/>
                <w:sz w:val="24"/>
                <w:szCs w:val="24"/>
              </w:rPr>
            </w:pPr>
            <w:r w:rsidRPr="00D80EC8">
              <w:rPr>
                <w:rFonts w:ascii="Arial" w:hAnsi="Arial" w:cs="Arial"/>
                <w:color w:val="6C6361"/>
                <w:sz w:val="24"/>
                <w:szCs w:val="24"/>
              </w:rPr>
              <w:t>Languages: Fluent English French and Italian; good Mandarin.</w:t>
            </w:r>
          </w:p>
          <w:p w:rsidR="007521F5" w:rsidRPr="00D80EC8" w:rsidRDefault="007521F5" w:rsidP="006F6E09">
            <w:pPr>
              <w:rPr>
                <w:rFonts w:ascii="Arial" w:hAnsi="Arial" w:cs="Arial"/>
                <w:color w:val="6C6361"/>
                <w:sz w:val="24"/>
                <w:szCs w:val="24"/>
              </w:rPr>
            </w:pPr>
          </w:p>
          <w:p w:rsidR="007521F5" w:rsidRPr="00A539DD" w:rsidRDefault="007521F5" w:rsidP="006F6E09">
            <w:pPr>
              <w:rPr>
                <w:rFonts w:ascii="Arial" w:hAnsi="Arial" w:cs="Arial"/>
                <w:color w:val="6C6361"/>
                <w:sz w:val="21"/>
                <w:szCs w:val="21"/>
              </w:rPr>
            </w:pPr>
            <w:r w:rsidRPr="00D80EC8">
              <w:rPr>
                <w:rFonts w:ascii="Arial" w:hAnsi="Arial" w:cs="Arial"/>
                <w:color w:val="6C6361"/>
                <w:sz w:val="24"/>
                <w:szCs w:val="24"/>
              </w:rPr>
              <w:t>Shortlisted for 2014 awards, Asia Transformation and Turnaround Association, Best mid-cap Turnaround project; commended nomination 2013 Awards, Shortlisted, 2011 awards</w:t>
            </w:r>
          </w:p>
        </w:tc>
      </w:tr>
    </w:tbl>
    <w:p w:rsidR="007521F5" w:rsidRPr="006A14F8" w:rsidRDefault="007521F5" w:rsidP="007521F5">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7521F5" w:rsidRPr="00896BC6" w:rsidTr="006F6E09">
        <w:trPr>
          <w:trHeight w:val="397"/>
          <w:jc w:val="center"/>
        </w:trPr>
        <w:tc>
          <w:tcPr>
            <w:tcW w:w="10773" w:type="dxa"/>
            <w:tcBorders>
              <w:top w:val="nil"/>
              <w:bottom w:val="nil"/>
            </w:tcBorders>
            <w:shd w:val="clear" w:color="auto" w:fill="F0EBE1"/>
            <w:vAlign w:val="center"/>
          </w:tcPr>
          <w:p w:rsidR="007521F5" w:rsidRPr="00896BC6" w:rsidRDefault="007521F5" w:rsidP="006F6E09">
            <w:pPr>
              <w:rPr>
                <w:rFonts w:ascii="Arial" w:hAnsi="Arial" w:cs="Arial"/>
                <w:b/>
                <w:color w:val="524B48"/>
                <w:sz w:val="24"/>
                <w:szCs w:val="24"/>
              </w:rPr>
            </w:pPr>
            <w:r w:rsidRPr="00896BC6">
              <w:rPr>
                <w:rFonts w:ascii="Arial" w:hAnsi="Arial" w:cs="Arial"/>
                <w:b/>
                <w:color w:val="524B48"/>
                <w:sz w:val="24"/>
                <w:szCs w:val="24"/>
              </w:rPr>
              <w:t>Course Objective:</w:t>
            </w:r>
          </w:p>
        </w:tc>
      </w:tr>
      <w:tr w:rsidR="007521F5" w:rsidRPr="00896BC6" w:rsidTr="006F6E09">
        <w:trPr>
          <w:trHeight w:val="1676"/>
          <w:jc w:val="center"/>
        </w:trPr>
        <w:tc>
          <w:tcPr>
            <w:tcW w:w="10773" w:type="dxa"/>
            <w:tcBorders>
              <w:top w:val="nil"/>
              <w:bottom w:val="nil"/>
            </w:tcBorders>
            <w:shd w:val="clear" w:color="auto" w:fill="FFFFFF"/>
            <w:vAlign w:val="center"/>
          </w:tcPr>
          <w:p w:rsidR="007521F5" w:rsidRDefault="007521F5" w:rsidP="006F6E09">
            <w:pPr>
              <w:pStyle w:val="ListParagraph"/>
              <w:numPr>
                <w:ilvl w:val="0"/>
                <w:numId w:val="2"/>
              </w:numPr>
              <w:rPr>
                <w:rFonts w:ascii="Arial" w:hAnsi="Arial" w:cs="Arial"/>
                <w:color w:val="6C6361"/>
                <w:sz w:val="24"/>
                <w:szCs w:val="24"/>
              </w:rPr>
            </w:pPr>
            <w:r w:rsidRPr="00896BC6">
              <w:rPr>
                <w:rFonts w:ascii="Arial" w:hAnsi="Arial" w:cs="Arial" w:hint="eastAsia"/>
                <w:color w:val="6C6361"/>
                <w:sz w:val="24"/>
                <w:szCs w:val="24"/>
              </w:rPr>
              <w:t>To give you the tools to understand the key princi</w:t>
            </w:r>
            <w:r>
              <w:rPr>
                <w:rFonts w:ascii="Arial" w:hAnsi="Arial" w:cs="Arial" w:hint="eastAsia"/>
                <w:color w:val="6C6361"/>
                <w:sz w:val="24"/>
                <w:szCs w:val="24"/>
              </w:rPr>
              <w:t>ples and how to implement them,</w:t>
            </w:r>
          </w:p>
          <w:p w:rsidR="007521F5" w:rsidRPr="00896BC6" w:rsidRDefault="007521F5" w:rsidP="006F6E09">
            <w:pPr>
              <w:pStyle w:val="ListParagraph"/>
              <w:ind w:left="360"/>
              <w:rPr>
                <w:rFonts w:ascii="Arial" w:hAnsi="Arial" w:cs="Arial"/>
                <w:color w:val="6C6361"/>
                <w:sz w:val="24"/>
                <w:szCs w:val="24"/>
              </w:rPr>
            </w:pPr>
            <w:r w:rsidRPr="00896BC6">
              <w:rPr>
                <w:rFonts w:ascii="Arial" w:hAnsi="Arial" w:cs="Arial" w:hint="eastAsia"/>
                <w:color w:val="6C6361"/>
                <w:sz w:val="24"/>
                <w:szCs w:val="24"/>
              </w:rPr>
              <w:t>in joint v</w:t>
            </w:r>
            <w:r>
              <w:rPr>
                <w:rFonts w:ascii="Arial" w:hAnsi="Arial" w:cs="Arial" w:hint="eastAsia"/>
                <w:color w:val="6C6361"/>
                <w:sz w:val="24"/>
                <w:szCs w:val="24"/>
              </w:rPr>
              <w:t>entures and investor agreements</w:t>
            </w:r>
          </w:p>
          <w:p w:rsidR="007521F5" w:rsidRPr="00896BC6" w:rsidRDefault="007521F5" w:rsidP="006F6E09">
            <w:pPr>
              <w:pStyle w:val="ListParagraph"/>
              <w:numPr>
                <w:ilvl w:val="0"/>
                <w:numId w:val="2"/>
              </w:numPr>
              <w:rPr>
                <w:rFonts w:ascii="Arial" w:hAnsi="Arial" w:cs="Arial"/>
                <w:color w:val="6C6361"/>
                <w:sz w:val="24"/>
                <w:szCs w:val="24"/>
              </w:rPr>
            </w:pPr>
            <w:r w:rsidRPr="00896BC6">
              <w:rPr>
                <w:rFonts w:ascii="Arial" w:hAnsi="Arial" w:cs="Arial" w:hint="eastAsia"/>
                <w:color w:val="6C6361"/>
                <w:sz w:val="24"/>
                <w:szCs w:val="24"/>
              </w:rPr>
              <w:t xml:space="preserve">Relevant for </w:t>
            </w:r>
            <w:r w:rsidRPr="00896BC6">
              <w:rPr>
                <w:rFonts w:ascii="Arial" w:hAnsi="Arial" w:cs="Arial" w:hint="eastAsia"/>
                <w:b/>
                <w:color w:val="6C6361"/>
                <w:sz w:val="24"/>
                <w:szCs w:val="24"/>
              </w:rPr>
              <w:t>finance directors</w:t>
            </w:r>
            <w:r w:rsidRPr="00896BC6">
              <w:rPr>
                <w:rFonts w:ascii="Arial" w:hAnsi="Arial" w:cs="Arial" w:hint="eastAsia"/>
                <w:color w:val="6C6361"/>
                <w:sz w:val="24"/>
                <w:szCs w:val="24"/>
              </w:rPr>
              <w:t xml:space="preserve"> of corporates negotiating JVs</w:t>
            </w:r>
          </w:p>
          <w:p w:rsidR="007521F5" w:rsidRPr="00896BC6" w:rsidRDefault="007521F5" w:rsidP="006F6E09">
            <w:pPr>
              <w:pStyle w:val="ListParagraph"/>
              <w:numPr>
                <w:ilvl w:val="0"/>
                <w:numId w:val="2"/>
              </w:numPr>
              <w:rPr>
                <w:rFonts w:ascii="Arial" w:hAnsi="Arial" w:cs="Arial"/>
                <w:color w:val="6C6361"/>
                <w:sz w:val="24"/>
                <w:szCs w:val="24"/>
              </w:rPr>
            </w:pPr>
            <w:r>
              <w:rPr>
                <w:rFonts w:ascii="Arial" w:hAnsi="Arial" w:cs="Arial" w:hint="eastAsia"/>
                <w:color w:val="6C6361"/>
                <w:sz w:val="24"/>
                <w:szCs w:val="24"/>
              </w:rPr>
              <w:t>F</w:t>
            </w:r>
            <w:r w:rsidRPr="00896BC6">
              <w:rPr>
                <w:rFonts w:ascii="Arial" w:hAnsi="Arial" w:cs="Arial" w:hint="eastAsia"/>
                <w:color w:val="6C6361"/>
                <w:sz w:val="24"/>
                <w:szCs w:val="24"/>
              </w:rPr>
              <w:t xml:space="preserve">or </w:t>
            </w:r>
            <w:r w:rsidRPr="00896BC6">
              <w:rPr>
                <w:rFonts w:ascii="Arial" w:hAnsi="Arial" w:cs="Arial" w:hint="eastAsia"/>
                <w:b/>
                <w:color w:val="6C6361"/>
                <w:sz w:val="24"/>
                <w:szCs w:val="24"/>
              </w:rPr>
              <w:t>entrepreneurs</w:t>
            </w:r>
            <w:r w:rsidRPr="00896BC6">
              <w:rPr>
                <w:rFonts w:ascii="Arial" w:hAnsi="Arial" w:cs="Arial" w:hint="eastAsia"/>
                <w:color w:val="6C6361"/>
                <w:sz w:val="24"/>
                <w:szCs w:val="24"/>
              </w:rPr>
              <w:t xml:space="preserve"> entering into investor agreements</w:t>
            </w:r>
          </w:p>
          <w:p w:rsidR="007521F5" w:rsidRPr="00896BC6" w:rsidRDefault="007521F5" w:rsidP="006F6E09">
            <w:pPr>
              <w:pStyle w:val="ListParagraph"/>
              <w:numPr>
                <w:ilvl w:val="0"/>
                <w:numId w:val="2"/>
              </w:numPr>
              <w:rPr>
                <w:rFonts w:ascii="Arial" w:hAnsi="Arial" w:cs="Arial"/>
                <w:b/>
                <w:color w:val="6C6361"/>
                <w:sz w:val="24"/>
                <w:szCs w:val="24"/>
                <w:u w:val="single"/>
              </w:rPr>
            </w:pPr>
            <w:r>
              <w:rPr>
                <w:rFonts w:ascii="Arial" w:hAnsi="Arial" w:cs="Arial"/>
                <w:color w:val="6C6361"/>
                <w:sz w:val="24"/>
                <w:szCs w:val="24"/>
              </w:rPr>
              <w:t>A</w:t>
            </w:r>
            <w:r w:rsidRPr="00896BC6">
              <w:rPr>
                <w:rFonts w:ascii="Arial" w:hAnsi="Arial" w:cs="Arial" w:hint="eastAsia"/>
                <w:color w:val="6C6361"/>
                <w:sz w:val="24"/>
                <w:szCs w:val="24"/>
              </w:rPr>
              <w:t xml:space="preserve">nd of course their </w:t>
            </w:r>
            <w:r w:rsidRPr="00896BC6">
              <w:rPr>
                <w:rFonts w:ascii="Arial" w:hAnsi="Arial" w:cs="Arial" w:hint="eastAsia"/>
                <w:b/>
                <w:color w:val="6C6361"/>
                <w:sz w:val="24"/>
                <w:szCs w:val="24"/>
              </w:rPr>
              <w:t>lawyers</w:t>
            </w:r>
          </w:p>
        </w:tc>
      </w:tr>
    </w:tbl>
    <w:p w:rsidR="007521F5" w:rsidRDefault="007521F5" w:rsidP="007521F5">
      <w:pPr>
        <w:spacing w:line="276" w:lineRule="auto"/>
        <w:jc w:val="left"/>
        <w:rPr>
          <w:rFonts w:ascii="Arial" w:hAnsi="Arial" w:cs="Arial"/>
          <w:sz w:val="20"/>
          <w:szCs w:val="20"/>
        </w:rPr>
      </w:pPr>
    </w:p>
    <w:p w:rsidR="007521F5" w:rsidRDefault="007521F5" w:rsidP="007521F5">
      <w:pPr>
        <w:spacing w:line="276" w:lineRule="auto"/>
        <w:jc w:val="left"/>
        <w:rPr>
          <w:rFonts w:ascii="Arial" w:hAnsi="Arial" w:cs="Arial"/>
          <w:sz w:val="20"/>
          <w:szCs w:val="20"/>
        </w:rPr>
      </w:pPr>
    </w:p>
    <w:p w:rsidR="007521F5" w:rsidRDefault="007521F5" w:rsidP="007521F5">
      <w:pPr>
        <w:spacing w:line="276" w:lineRule="auto"/>
        <w:jc w:val="left"/>
        <w:rPr>
          <w:rFonts w:ascii="Arial" w:hAnsi="Arial" w:cs="Arial"/>
          <w:sz w:val="20"/>
          <w:szCs w:val="20"/>
        </w:rPr>
      </w:pPr>
    </w:p>
    <w:p w:rsidR="007521F5" w:rsidRPr="007521F5" w:rsidRDefault="007521F5" w:rsidP="007521F5">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7521F5" w:rsidRPr="00B2017E" w:rsidTr="006F6E09">
        <w:trPr>
          <w:trHeight w:val="397"/>
          <w:jc w:val="center"/>
        </w:trPr>
        <w:tc>
          <w:tcPr>
            <w:tcW w:w="10773" w:type="dxa"/>
            <w:tcBorders>
              <w:top w:val="nil"/>
              <w:bottom w:val="nil"/>
            </w:tcBorders>
            <w:shd w:val="clear" w:color="auto" w:fill="F0EBE1"/>
            <w:vAlign w:val="center"/>
          </w:tcPr>
          <w:p w:rsidR="007521F5" w:rsidRPr="00B2017E" w:rsidRDefault="007521F5" w:rsidP="006F6E09">
            <w:pPr>
              <w:rPr>
                <w:rFonts w:ascii="Arial" w:hAnsi="Arial" w:cs="Arial"/>
                <w:b/>
                <w:color w:val="524B48"/>
                <w:sz w:val="24"/>
                <w:szCs w:val="24"/>
              </w:rPr>
            </w:pPr>
            <w:r w:rsidRPr="00B2017E">
              <w:rPr>
                <w:rFonts w:ascii="Arial" w:hAnsi="Arial" w:cs="Arial"/>
                <w:b/>
                <w:color w:val="524B48"/>
                <w:sz w:val="24"/>
                <w:szCs w:val="24"/>
              </w:rPr>
              <w:lastRenderedPageBreak/>
              <w:t>Course Outline:</w:t>
            </w:r>
          </w:p>
        </w:tc>
      </w:tr>
      <w:tr w:rsidR="007521F5" w:rsidRPr="00B2017E" w:rsidTr="006F6E09">
        <w:trPr>
          <w:trHeight w:val="10239"/>
          <w:jc w:val="center"/>
        </w:trPr>
        <w:tc>
          <w:tcPr>
            <w:tcW w:w="10773" w:type="dxa"/>
            <w:tcBorders>
              <w:top w:val="nil"/>
              <w:bottom w:val="nil"/>
            </w:tcBorders>
            <w:shd w:val="clear" w:color="auto" w:fill="FFFFFF"/>
            <w:vAlign w:val="center"/>
          </w:tcPr>
          <w:p w:rsidR="007521F5" w:rsidRPr="00B2017E" w:rsidRDefault="007521F5" w:rsidP="006F6E09">
            <w:pPr>
              <w:jc w:val="left"/>
              <w:rPr>
                <w:rFonts w:ascii="Arial" w:hAnsi="Arial" w:cs="Arial"/>
                <w:color w:val="6C6361"/>
                <w:sz w:val="24"/>
                <w:szCs w:val="24"/>
              </w:rPr>
            </w:pPr>
            <w:r w:rsidRPr="00B2017E">
              <w:rPr>
                <w:rFonts w:ascii="Arial" w:hAnsi="Arial" w:cs="Arial"/>
                <w:color w:val="6C6361"/>
                <w:sz w:val="24"/>
                <w:szCs w:val="24"/>
              </w:rPr>
              <w:t>A selection of the questions which will be addressed:</w:t>
            </w:r>
          </w:p>
          <w:p w:rsidR="007521F5" w:rsidRPr="00AA2B6A" w:rsidRDefault="007521F5" w:rsidP="006F6E09">
            <w:pPr>
              <w:jc w:val="left"/>
              <w:rPr>
                <w:rFonts w:ascii="Arial" w:hAnsi="Arial" w:cs="Arial"/>
                <w:b/>
                <w:color w:val="6C6361"/>
                <w:sz w:val="12"/>
                <w:szCs w:val="12"/>
                <w:u w:val="single"/>
              </w:rPr>
            </w:pPr>
          </w:p>
          <w:p w:rsidR="007521F5" w:rsidRPr="00B2017E" w:rsidRDefault="007521F5" w:rsidP="006F6E09">
            <w:pPr>
              <w:pStyle w:val="ListParagraph"/>
              <w:numPr>
                <w:ilvl w:val="0"/>
                <w:numId w:val="2"/>
              </w:numPr>
              <w:jc w:val="left"/>
              <w:rPr>
                <w:rFonts w:ascii="Arial" w:hAnsi="Arial" w:cs="Arial"/>
                <w:color w:val="6C6361"/>
                <w:sz w:val="24"/>
                <w:szCs w:val="24"/>
              </w:rPr>
            </w:pPr>
            <w:r w:rsidRPr="00B2017E">
              <w:rPr>
                <w:rFonts w:ascii="Arial" w:hAnsi="Arial" w:cs="Arial"/>
                <w:color w:val="6C6361"/>
                <w:sz w:val="24"/>
                <w:szCs w:val="24"/>
              </w:rPr>
              <w:t xml:space="preserve">For </w:t>
            </w:r>
            <w:r w:rsidRPr="00B2017E">
              <w:rPr>
                <w:rFonts w:ascii="Arial" w:hAnsi="Arial" w:cs="Arial"/>
                <w:b/>
                <w:color w:val="6C6361"/>
                <w:sz w:val="24"/>
                <w:szCs w:val="24"/>
              </w:rPr>
              <w:t>finance directors</w:t>
            </w:r>
            <w:r w:rsidRPr="00B2017E">
              <w:rPr>
                <w:rFonts w:ascii="Arial" w:hAnsi="Arial" w:cs="Arial"/>
                <w:color w:val="6C6361"/>
                <w:sz w:val="24"/>
                <w:szCs w:val="24"/>
              </w:rPr>
              <w:t xml:space="preserve"> and </w:t>
            </w:r>
            <w:r w:rsidRPr="00B2017E">
              <w:rPr>
                <w:rFonts w:ascii="Arial" w:hAnsi="Arial" w:cs="Arial"/>
                <w:b/>
                <w:color w:val="6C6361"/>
                <w:sz w:val="24"/>
                <w:szCs w:val="24"/>
              </w:rPr>
              <w:t>entrepreneurs</w:t>
            </w:r>
            <w:r w:rsidRPr="00B2017E">
              <w:rPr>
                <w:rFonts w:ascii="Arial" w:hAnsi="Arial" w:cs="Arial"/>
                <w:color w:val="6C6361"/>
                <w:sz w:val="24"/>
                <w:szCs w:val="24"/>
              </w:rPr>
              <w:t>:</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The differences between the different types of joint venture</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color w:val="6C6361"/>
                <w:sz w:val="24"/>
                <w:szCs w:val="24"/>
              </w:rPr>
              <w:t>I</w:t>
            </w:r>
            <w:r w:rsidRPr="00B2017E">
              <w:rPr>
                <w:rFonts w:ascii="Arial" w:hAnsi="Arial" w:cs="Arial" w:hint="eastAsia"/>
                <w:color w:val="6C6361"/>
                <w:sz w:val="24"/>
                <w:szCs w:val="24"/>
              </w:rPr>
              <w:t>s it enough to have a shareholders agreement which says it takes precedence over the Articles or should you adapt the Articles also?</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law should I use in an overseas joint venture?</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minority protection do I need if we are in a minority joint venture?</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Is it important to have different classes of share capital?</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Top tips for deadlock clauses</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Is there a positive way of dealing with a deadlock?</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In an international joint venture do the board meetings have to be in one language?</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are the differences between a CEO in a common law country JV and a President in a civil law country JV?</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How can we limit the powers of the President?</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5 types of first refusal clauses</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is drag along and tag along?</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Tips on buying out your JV partner</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5 top things to do and not to do in a JV</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Recent cases</w:t>
            </w:r>
          </w:p>
          <w:p w:rsidR="007521F5" w:rsidRPr="00AA2B6A" w:rsidRDefault="007521F5" w:rsidP="006F6E09">
            <w:pPr>
              <w:jc w:val="left"/>
              <w:rPr>
                <w:rFonts w:ascii="Arial" w:hAnsi="Arial" w:cs="Arial"/>
                <w:color w:val="6C6361"/>
                <w:sz w:val="12"/>
                <w:szCs w:val="12"/>
              </w:rPr>
            </w:pPr>
          </w:p>
          <w:p w:rsidR="007521F5" w:rsidRPr="00B2017E" w:rsidRDefault="007521F5" w:rsidP="006F6E09">
            <w:pPr>
              <w:pStyle w:val="ListParagraph"/>
              <w:numPr>
                <w:ilvl w:val="0"/>
                <w:numId w:val="2"/>
              </w:numPr>
              <w:jc w:val="left"/>
              <w:rPr>
                <w:rFonts w:ascii="Arial" w:hAnsi="Arial" w:cs="Arial"/>
                <w:color w:val="6C6361"/>
                <w:sz w:val="24"/>
                <w:szCs w:val="24"/>
              </w:rPr>
            </w:pPr>
            <w:r w:rsidRPr="00B2017E">
              <w:rPr>
                <w:rFonts w:ascii="Arial" w:hAnsi="Arial" w:cs="Arial"/>
                <w:color w:val="6C6361"/>
                <w:sz w:val="24"/>
                <w:szCs w:val="24"/>
              </w:rPr>
              <w:t xml:space="preserve">For </w:t>
            </w:r>
            <w:r w:rsidRPr="00B2017E">
              <w:rPr>
                <w:rFonts w:ascii="Arial" w:hAnsi="Arial" w:cs="Arial"/>
                <w:b/>
                <w:color w:val="6C6361"/>
                <w:sz w:val="24"/>
                <w:szCs w:val="24"/>
              </w:rPr>
              <w:t>entrepreneurs</w:t>
            </w:r>
            <w:r w:rsidRPr="00B2017E">
              <w:rPr>
                <w:rFonts w:ascii="Arial" w:hAnsi="Arial" w:cs="Arial"/>
                <w:color w:val="6C6361"/>
                <w:sz w:val="24"/>
                <w:szCs w:val="24"/>
              </w:rPr>
              <w:t>:</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color w:val="6C6361"/>
                <w:sz w:val="24"/>
                <w:szCs w:val="24"/>
              </w:rPr>
              <w:t>D</w:t>
            </w:r>
            <w:r w:rsidRPr="00B2017E">
              <w:rPr>
                <w:rFonts w:ascii="Arial" w:hAnsi="Arial" w:cs="Arial" w:hint="eastAsia"/>
                <w:color w:val="6C6361"/>
                <w:sz w:val="24"/>
                <w:szCs w:val="24"/>
              </w:rPr>
              <w:t>o I need a shareholders agreement for my start up?</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5 things to do and 5 things to avoid in a shareholders agreement</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color w:val="6C6361"/>
                <w:sz w:val="24"/>
                <w:szCs w:val="24"/>
              </w:rPr>
              <w:t>M</w:t>
            </w:r>
            <w:r w:rsidRPr="00B2017E">
              <w:rPr>
                <w:rFonts w:ascii="Arial" w:hAnsi="Arial" w:cs="Arial" w:hint="eastAsia"/>
                <w:color w:val="6C6361"/>
                <w:sz w:val="24"/>
                <w:szCs w:val="24"/>
              </w:rPr>
              <w:t>y investor(s) say(s) he/they can take preference shares or loan notes. What's the difference?</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Can I pay shareholders different dividends?</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How do I find an investor?</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are the differences between a business angel and a private equity investor?</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Can my investors fire me as CEO?</w:t>
            </w:r>
          </w:p>
          <w:p w:rsidR="007521F5"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does good leaver and bad leaver mean?</w:t>
            </w:r>
          </w:p>
          <w:p w:rsidR="007521F5" w:rsidRPr="00AA2B6A" w:rsidRDefault="007521F5" w:rsidP="006F6E09">
            <w:pPr>
              <w:jc w:val="left"/>
              <w:rPr>
                <w:rFonts w:ascii="Arial" w:hAnsi="Arial" w:cs="Arial"/>
                <w:color w:val="6C6361"/>
                <w:sz w:val="12"/>
                <w:szCs w:val="12"/>
              </w:rPr>
            </w:pPr>
            <w:r w:rsidRPr="00D74E26">
              <w:rPr>
                <w:rFonts w:hint="eastAsia"/>
                <w:noProof/>
              </w:rPr>
              <w:drawing>
                <wp:anchor distT="0" distB="0" distL="114300" distR="114300" simplePos="0" relativeHeight="251660288" behindDoc="0" locked="0" layoutInCell="1" allowOverlap="1" wp14:anchorId="5A914025" wp14:editId="1156A369">
                  <wp:simplePos x="0" y="0"/>
                  <wp:positionH relativeFrom="column">
                    <wp:posOffset>5793105</wp:posOffset>
                  </wp:positionH>
                  <wp:positionV relativeFrom="paragraph">
                    <wp:posOffset>35560</wp:posOffset>
                  </wp:positionV>
                  <wp:extent cx="895985" cy="10223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anchor>
              </w:drawing>
            </w:r>
          </w:p>
          <w:p w:rsidR="007521F5" w:rsidRPr="00B2017E" w:rsidRDefault="007521F5" w:rsidP="006F6E09">
            <w:pPr>
              <w:pStyle w:val="ListParagraph"/>
              <w:numPr>
                <w:ilvl w:val="0"/>
                <w:numId w:val="2"/>
              </w:numPr>
              <w:jc w:val="left"/>
              <w:rPr>
                <w:rFonts w:ascii="Arial" w:hAnsi="Arial" w:cs="Arial"/>
                <w:color w:val="6C6361"/>
                <w:sz w:val="24"/>
                <w:szCs w:val="24"/>
              </w:rPr>
            </w:pPr>
            <w:r w:rsidRPr="00B2017E">
              <w:rPr>
                <w:rFonts w:ascii="Arial" w:hAnsi="Arial" w:cs="Arial"/>
                <w:color w:val="6C6361"/>
                <w:sz w:val="24"/>
                <w:szCs w:val="24"/>
              </w:rPr>
              <w:t xml:space="preserve">For </w:t>
            </w:r>
            <w:r w:rsidRPr="00B2017E">
              <w:rPr>
                <w:rFonts w:ascii="Arial" w:hAnsi="Arial" w:cs="Arial"/>
                <w:b/>
                <w:color w:val="6C6361"/>
                <w:sz w:val="24"/>
                <w:szCs w:val="24"/>
              </w:rPr>
              <w:t>investors</w:t>
            </w:r>
            <w:r w:rsidRPr="00B2017E">
              <w:rPr>
                <w:rFonts w:ascii="Arial" w:hAnsi="Arial" w:cs="Arial"/>
                <w:color w:val="6C6361"/>
                <w:sz w:val="24"/>
                <w:szCs w:val="24"/>
              </w:rPr>
              <w:t>:</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What rights do I have if I'm an investor and haven't been appointed a director?</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Should I agree to become a director? What about my liabilities?</w:t>
            </w:r>
          </w:p>
          <w:p w:rsidR="007521F5" w:rsidRPr="00B2017E" w:rsidRDefault="007521F5" w:rsidP="006F6E09">
            <w:pPr>
              <w:pStyle w:val="ListParagraph"/>
              <w:numPr>
                <w:ilvl w:val="1"/>
                <w:numId w:val="2"/>
              </w:numPr>
              <w:jc w:val="left"/>
              <w:rPr>
                <w:rFonts w:ascii="Arial" w:hAnsi="Arial" w:cs="Arial"/>
                <w:color w:val="6C6361"/>
                <w:sz w:val="24"/>
                <w:szCs w:val="24"/>
              </w:rPr>
            </w:pPr>
            <w:r w:rsidRPr="00B2017E">
              <w:rPr>
                <w:rFonts w:ascii="Arial" w:hAnsi="Arial" w:cs="Arial" w:hint="eastAsia"/>
                <w:color w:val="6C6361"/>
                <w:sz w:val="24"/>
                <w:szCs w:val="24"/>
              </w:rPr>
              <w:t>Do I have a right to see the management accounts?</w:t>
            </w:r>
          </w:p>
          <w:p w:rsidR="007521F5" w:rsidRPr="00AA2B6A" w:rsidRDefault="007521F5" w:rsidP="006F6E09">
            <w:pPr>
              <w:jc w:val="left"/>
              <w:rPr>
                <w:rFonts w:ascii="Arial" w:hAnsi="Arial" w:cs="Arial"/>
                <w:color w:val="6C6361"/>
                <w:sz w:val="12"/>
                <w:szCs w:val="12"/>
              </w:rPr>
            </w:pPr>
          </w:p>
          <w:p w:rsidR="007521F5" w:rsidRPr="00B2017E" w:rsidRDefault="007521F5" w:rsidP="006F6E09">
            <w:pPr>
              <w:pStyle w:val="ListParagraph"/>
              <w:numPr>
                <w:ilvl w:val="0"/>
                <w:numId w:val="2"/>
              </w:numPr>
              <w:jc w:val="left"/>
              <w:rPr>
                <w:rFonts w:ascii="Arial" w:hAnsi="Arial" w:cs="Arial"/>
                <w:color w:val="6C6361"/>
                <w:sz w:val="24"/>
                <w:szCs w:val="24"/>
              </w:rPr>
            </w:pPr>
            <w:r w:rsidRPr="00B2017E">
              <w:rPr>
                <w:rFonts w:ascii="Arial" w:hAnsi="Arial" w:cs="Arial"/>
                <w:color w:val="6C6361"/>
                <w:sz w:val="24"/>
                <w:szCs w:val="24"/>
              </w:rPr>
              <w:t xml:space="preserve">And for </w:t>
            </w:r>
            <w:r w:rsidRPr="00B2017E">
              <w:rPr>
                <w:rFonts w:ascii="Arial" w:hAnsi="Arial" w:cs="Arial"/>
                <w:b/>
                <w:color w:val="6C6361"/>
                <w:sz w:val="24"/>
                <w:szCs w:val="24"/>
              </w:rPr>
              <w:t>lawyers</w:t>
            </w:r>
            <w:r w:rsidRPr="00B2017E">
              <w:rPr>
                <w:rFonts w:ascii="Arial" w:hAnsi="Arial" w:cs="Arial"/>
                <w:color w:val="6C6361"/>
                <w:sz w:val="24"/>
                <w:szCs w:val="24"/>
              </w:rPr>
              <w:t xml:space="preserve"> acting for the above</w:t>
            </w:r>
          </w:p>
        </w:tc>
      </w:tr>
    </w:tbl>
    <w:p w:rsidR="007521F5" w:rsidRPr="008D0270" w:rsidRDefault="007521F5" w:rsidP="007521F5">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7521F5" w:rsidRPr="00320F79" w:rsidTr="006F6E09">
        <w:trPr>
          <w:trHeight w:val="340"/>
          <w:jc w:val="center"/>
        </w:trPr>
        <w:tc>
          <w:tcPr>
            <w:tcW w:w="1701" w:type="dxa"/>
            <w:tcBorders>
              <w:top w:val="nil"/>
              <w:left w:val="nil"/>
              <w:bottom w:val="single" w:sz="12" w:space="0" w:color="FFFFFF"/>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EVT000000074</w:t>
            </w:r>
          </w:p>
        </w:tc>
        <w:tc>
          <w:tcPr>
            <w:tcW w:w="1701" w:type="dxa"/>
            <w:tcBorders>
              <w:top w:val="nil"/>
              <w:bottom w:val="single" w:sz="12" w:space="0" w:color="FFFFFF"/>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521F5" w:rsidRPr="00320F79" w:rsidTr="006F6E09">
        <w:trPr>
          <w:trHeight w:val="340"/>
          <w:jc w:val="center"/>
        </w:trPr>
        <w:tc>
          <w:tcPr>
            <w:tcW w:w="1701" w:type="dxa"/>
            <w:tcBorders>
              <w:top w:val="single" w:sz="12" w:space="0" w:color="FFFFFF"/>
              <w:left w:val="nil"/>
              <w:bottom w:val="single" w:sz="12" w:space="0" w:color="FFFFFF"/>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July</w:t>
            </w:r>
            <w:r w:rsidRPr="00320F79">
              <w:rPr>
                <w:rFonts w:ascii="Arial" w:hAnsi="Arial" w:cs="Arial"/>
                <w:b/>
                <w:color w:val="6C6361"/>
                <w:sz w:val="20"/>
                <w:szCs w:val="20"/>
              </w:rPr>
              <w:t xml:space="preserve"> 2015 (</w:t>
            </w:r>
            <w:r>
              <w:rPr>
                <w:rFonts w:ascii="Arial" w:hAnsi="Arial" w:cs="Arial"/>
                <w:b/>
                <w:color w:val="6C6361"/>
                <w:sz w:val="20"/>
                <w:szCs w:val="20"/>
              </w:rPr>
              <w:t>Tuesday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521F5" w:rsidRPr="00320F79" w:rsidTr="006F6E09">
        <w:trPr>
          <w:trHeight w:val="340"/>
          <w:jc w:val="center"/>
        </w:trPr>
        <w:tc>
          <w:tcPr>
            <w:tcW w:w="1701" w:type="dxa"/>
            <w:tcBorders>
              <w:top w:val="single" w:sz="12" w:space="0" w:color="FFFFFF"/>
              <w:left w:val="nil"/>
              <w:bottom w:val="single" w:sz="12" w:space="0" w:color="FFFFFF"/>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7521F5"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p w:rsidR="007521F5" w:rsidRDefault="007521F5" w:rsidP="006F6E09">
            <w:pPr>
              <w:rPr>
                <w:rFonts w:ascii="Arial" w:eastAsia="Times New Roman" w:hAnsi="Arial" w:cs="Arial"/>
                <w:sz w:val="20"/>
                <w:szCs w:val="20"/>
              </w:rPr>
            </w:pPr>
          </w:p>
          <w:p w:rsidR="007521F5" w:rsidRPr="00C4144E" w:rsidRDefault="007521F5" w:rsidP="006F6E09">
            <w:pPr>
              <w:rPr>
                <w:rFonts w:ascii="Arial" w:eastAsia="Times New Roman" w:hAnsi="Arial" w:cs="Arial"/>
                <w:sz w:val="20"/>
                <w:szCs w:val="20"/>
              </w:rPr>
            </w:pPr>
          </w:p>
        </w:tc>
        <w:tc>
          <w:tcPr>
            <w:tcW w:w="3685" w:type="dxa"/>
            <w:gridSpan w:val="2"/>
            <w:tcBorders>
              <w:top w:val="single" w:sz="12" w:space="0" w:color="F0EBE1"/>
              <w:bottom w:val="single" w:sz="12" w:space="0" w:color="F0EBE1"/>
              <w:right w:val="nil"/>
            </w:tcBorders>
            <w:shd w:val="clear" w:color="auto" w:fill="FFFFFF"/>
            <w:vAlign w:val="center"/>
          </w:tcPr>
          <w:p w:rsidR="007521F5"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7521F5" w:rsidRPr="00AA2B6A"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color w:val="6C6361"/>
                <w:sz w:val="20"/>
                <w:szCs w:val="20"/>
              </w:rPr>
              <w:t>(LSHK Allocated Number: 20151716)</w:t>
            </w:r>
          </w:p>
          <w:p w:rsidR="007521F5" w:rsidRPr="00A22DCD"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7521F5" w:rsidRPr="00320F79" w:rsidTr="006F6E09">
        <w:trPr>
          <w:trHeight w:val="1247"/>
          <w:jc w:val="center"/>
        </w:trPr>
        <w:tc>
          <w:tcPr>
            <w:tcW w:w="1701" w:type="dxa"/>
            <w:tcBorders>
              <w:top w:val="single" w:sz="12" w:space="0" w:color="FFFFFF"/>
              <w:left w:val="nil"/>
              <w:bottom w:val="nil"/>
            </w:tcBorders>
            <w:shd w:val="clear" w:color="auto" w:fill="F0EBE1"/>
            <w:vAlign w:val="center"/>
          </w:tcPr>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7521F5" w:rsidRPr="00320F79" w:rsidRDefault="007521F5" w:rsidP="006F6E0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7521F5" w:rsidRPr="00320F79"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7521F5" w:rsidRDefault="007521F5" w:rsidP="006F6E09">
            <w:pPr>
              <w:jc w:val="right"/>
              <w:rPr>
                <w:rFonts w:ascii="Arial" w:hAnsi="Arial" w:cs="Arial"/>
                <w:b/>
                <w:color w:val="6C6361"/>
                <w:sz w:val="20"/>
                <w:szCs w:val="20"/>
              </w:rPr>
            </w:pPr>
          </w:p>
          <w:p w:rsidR="007521F5" w:rsidRDefault="007521F5" w:rsidP="006F6E09">
            <w:pPr>
              <w:jc w:val="right"/>
              <w:rPr>
                <w:rFonts w:ascii="Arial" w:hAnsi="Arial" w:cs="Arial"/>
                <w:b/>
                <w:color w:val="6C6361"/>
                <w:sz w:val="20"/>
                <w:szCs w:val="20"/>
              </w:rPr>
            </w:pPr>
          </w:p>
          <w:p w:rsidR="007521F5" w:rsidRPr="00320F79" w:rsidRDefault="007521F5" w:rsidP="006F6E09">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3C7B010" wp14:editId="5EBA232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7521F5" w:rsidRPr="00E2201B" w:rsidRDefault="007521F5" w:rsidP="006F6E0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7521F5" w:rsidRPr="003A2A41"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7521F5" w:rsidRPr="003A2A41"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7521F5" w:rsidRPr="003A2A41"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7521F5" w:rsidRPr="003A2A41"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7521F5" w:rsidRPr="00156567" w:rsidRDefault="007521F5"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5E2E0F0" wp14:editId="0BDC2E4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7521F5" w:rsidRDefault="007521F5" w:rsidP="007521F5">
      <w:pPr>
        <w:rPr>
          <w:rFonts w:ascii="Arial" w:hAnsi="Arial" w:cs="Arial"/>
          <w:color w:val="524B48"/>
          <w:sz w:val="2"/>
          <w:szCs w:val="2"/>
        </w:rPr>
      </w:pPr>
    </w:p>
    <w:p w:rsidR="007521F5" w:rsidRDefault="007521F5" w:rsidP="007521F5">
      <w:pPr>
        <w:rPr>
          <w:rFonts w:ascii="Arial" w:hAnsi="Arial" w:cs="Arial"/>
          <w:color w:val="524B48"/>
          <w:sz w:val="2"/>
          <w:szCs w:val="2"/>
        </w:rPr>
      </w:pPr>
    </w:p>
    <w:p w:rsidR="007521F5" w:rsidRDefault="007521F5" w:rsidP="007521F5">
      <w:pPr>
        <w:rPr>
          <w:rFonts w:ascii="Arial" w:hAnsi="Arial" w:cs="Arial"/>
          <w:color w:val="524B48"/>
          <w:sz w:val="2"/>
          <w:szCs w:val="2"/>
        </w:rPr>
      </w:pPr>
    </w:p>
    <w:p w:rsidR="00214BC6" w:rsidRPr="007521F5" w:rsidRDefault="00214BC6" w:rsidP="007521F5"/>
    <w:sectPr w:rsidR="00214BC6" w:rsidRPr="007521F5"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CF3" w:rsidRDefault="00E77CF3" w:rsidP="00546556">
      <w:r>
        <w:separator/>
      </w:r>
    </w:p>
  </w:endnote>
  <w:endnote w:type="continuationSeparator" w:id="0">
    <w:p w:rsidR="00E77CF3" w:rsidRDefault="00E77CF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CF3" w:rsidRDefault="00E77CF3" w:rsidP="00546556">
      <w:r>
        <w:separator/>
      </w:r>
    </w:p>
  </w:footnote>
  <w:footnote w:type="continuationSeparator" w:id="0">
    <w:p w:rsidR="00E77CF3" w:rsidRDefault="00E77CF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fin+N91nFdVygH3eETRQVz1xc/VisAKHY+fLKOZH6K2j9JCwdOcKp2cTX6ad05ZzGGzUxEtZWepQwi9MoZ9Iw==" w:salt="MJ0wr/OOwQrLS10ozmpYl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18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7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2727E-3227-4C89-B4C0-4EC95C81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585</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The Arts and Science of Negotiation &amp; Mediation</vt:lpstr>
    </vt:vector>
  </TitlesOfParts>
  <Manager>Tyrone Tsang</Manager>
  <Company>The Profectional Company Limited</Company>
  <LinksUpToDate>false</LinksUpToDate>
  <CharactersWithSpaces>3913</CharactersWithSpaces>
  <SharedDoc>false</SharedDoc>
  <HyperlinkBase>http://download.profectional.com/events/EVT000000074.docx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Joint Venture and Shareholders Agreements, Expansion Capital and Private Equity</dc:title>
  <dc:subject>CPD Course, CPT Course: Joint Venture and Shareholders Agreements, Expansion Capital and Private Equity</dc:subject>
  <dc:creator>The Profectional Company Limited</dc:creator>
  <cp:keywords>Profectional; Kornerstone; CPD; CPT; CLE; CE; RME; Guy Facey, Partner, Facey &amp; Associates</cp:keywords>
  <cp:lastModifiedBy>Tyrone Tsang</cp:lastModifiedBy>
  <cp:revision>6</cp:revision>
  <cp:lastPrinted>2015-06-06T08:07:00Z</cp:lastPrinted>
  <dcterms:created xsi:type="dcterms:W3CDTF">2015-05-28T16:24:00Z</dcterms:created>
  <dcterms:modified xsi:type="dcterms:W3CDTF">2015-07-11T03:09:00Z</dcterms:modified>
</cp:coreProperties>
</file>