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93D" w:rsidRPr="009F393D" w:rsidRDefault="009F393D" w:rsidP="009F393D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9F393D" w:rsidRPr="00523A64" w:rsidTr="005D020E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9F393D" w:rsidRPr="001A3018" w:rsidRDefault="009F393D" w:rsidP="005D020E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9F393D" w:rsidRDefault="009F393D" w:rsidP="005D020E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b/>
                  <w:bCs/>
                  <w:color w:val="524B48"/>
                  <w:sz w:val="32"/>
                  <w:szCs w:val="32"/>
                  <w:u w:val="none"/>
                </w:rPr>
                <w:t>Freezing Injunctions</w:t>
              </w:r>
            </w:hyperlink>
          </w:p>
          <w:p w:rsidR="009F393D" w:rsidRPr="00C65AFD" w:rsidRDefault="009F393D" w:rsidP="005D020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F393D" w:rsidRPr="00C65AFD" w:rsidRDefault="009F393D" w:rsidP="005D020E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9F393D" w:rsidRPr="00C65AFD" w:rsidRDefault="009F393D" w:rsidP="005D020E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9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Clemence</w:t>
              </w:r>
              <w:proofErr w:type="spellEnd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 Yeung</w:t>
              </w:r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9F393D" w:rsidRPr="00AD645C" w:rsidRDefault="009F393D" w:rsidP="005D020E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9F393D" w:rsidRPr="00D50772" w:rsidRDefault="009F393D" w:rsidP="005D020E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13289A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59264" behindDoc="0" locked="0" layoutInCell="1" allowOverlap="1" wp14:anchorId="4EBCF43F" wp14:editId="41F30488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-58420</wp:posOffset>
                  </wp:positionV>
                  <wp:extent cx="539750" cy="546735"/>
                  <wp:effectExtent l="0" t="0" r="0" b="5715"/>
                  <wp:wrapNone/>
                  <wp:docPr id="4" name="Picture 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301A19C" wp14:editId="10A1AD19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93D" w:rsidRPr="00ED1C43" w:rsidRDefault="009F393D" w:rsidP="009F393D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9F393D" w:rsidRPr="00895F3B" w:rsidTr="005D020E">
        <w:trPr>
          <w:trHeight w:val="2571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9F393D" w:rsidRPr="00895F3B" w:rsidRDefault="009F393D" w:rsidP="005D020E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257A603D" wp14:editId="62CADAED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9F393D" w:rsidRPr="005B38D5" w:rsidRDefault="009F393D" w:rsidP="005D020E">
            <w:pPr>
              <w:pStyle w:val="NormalWeb"/>
              <w:rPr>
                <w:rFonts w:ascii="Arial" w:hAnsi="Arial" w:cs="Arial"/>
                <w:color w:val="6C6361"/>
              </w:rPr>
            </w:pPr>
            <w:r w:rsidRPr="00E82C38">
              <w:rPr>
                <w:rFonts w:ascii="Arial" w:hAnsi="Arial" w:cs="Arial"/>
                <w:color w:val="6C6361"/>
              </w:rPr>
              <w:t xml:space="preserve">Mr. Yeung was called to the Bar in 1997. 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E82C38">
              <w:rPr>
                <w:rFonts w:ascii="Arial" w:hAnsi="Arial" w:cs="Arial"/>
                <w:color w:val="6C6361"/>
              </w:rPr>
              <w:t>Pri</w:t>
            </w:r>
            <w:r>
              <w:rPr>
                <w:rFonts w:ascii="Arial" w:hAnsi="Arial" w:cs="Arial"/>
                <w:color w:val="6C6361"/>
              </w:rPr>
              <w:t xml:space="preserve">or to that he was admitted as a </w:t>
            </w:r>
            <w:r w:rsidRPr="00E82C38">
              <w:rPr>
                <w:rFonts w:ascii="Arial" w:hAnsi="Arial" w:cs="Arial"/>
                <w:color w:val="6C6361"/>
              </w:rPr>
              <w:t>solicitor in England and Wales and in Hong Ko</w:t>
            </w:r>
            <w:r>
              <w:rPr>
                <w:rFonts w:ascii="Arial" w:hAnsi="Arial" w:cs="Arial"/>
                <w:color w:val="6C6361"/>
              </w:rPr>
              <w:t xml:space="preserve">ng and </w:t>
            </w:r>
            <w:proofErr w:type="spellStart"/>
            <w:r>
              <w:rPr>
                <w:rFonts w:ascii="Arial" w:hAnsi="Arial" w:cs="Arial"/>
                <w:color w:val="6C6361"/>
              </w:rPr>
              <w:t>practised</w:t>
            </w:r>
            <w:proofErr w:type="spellEnd"/>
            <w:r>
              <w:rPr>
                <w:rFonts w:ascii="Arial" w:hAnsi="Arial" w:cs="Arial"/>
                <w:color w:val="6C6361"/>
              </w:rPr>
              <w:t xml:space="preserve"> as a solicitor </w:t>
            </w:r>
            <w:r w:rsidRPr="00E82C38">
              <w:rPr>
                <w:rFonts w:ascii="Arial" w:hAnsi="Arial" w:cs="Arial"/>
                <w:color w:val="6C6361"/>
              </w:rPr>
              <w:t xml:space="preserve">in the litigation department of an international firm. </w:t>
            </w:r>
            <w:r>
              <w:rPr>
                <w:rFonts w:ascii="Arial" w:hAnsi="Arial" w:cs="Arial"/>
                <w:color w:val="6C6361"/>
              </w:rPr>
              <w:t xml:space="preserve"> He was a contributor </w:t>
            </w:r>
            <w:r w:rsidRPr="00E82C38">
              <w:rPr>
                <w:rFonts w:ascii="Arial" w:hAnsi="Arial" w:cs="Arial"/>
                <w:color w:val="6C6361"/>
              </w:rPr>
              <w:t xml:space="preserve">to Halsbury's Laws of Hong Kong Volume 18(1) </w:t>
            </w:r>
            <w:r>
              <w:rPr>
                <w:rFonts w:ascii="Arial" w:hAnsi="Arial" w:cs="Arial"/>
                <w:color w:val="6C6361"/>
              </w:rPr>
              <w:t xml:space="preserve">Maritime Law (Butterworths) and </w:t>
            </w:r>
            <w:r w:rsidRPr="00E82C38">
              <w:rPr>
                <w:rFonts w:ascii="Arial" w:hAnsi="Arial" w:cs="Arial"/>
                <w:color w:val="6C6361"/>
              </w:rPr>
              <w:t xml:space="preserve">has authored a book on the law of </w:t>
            </w:r>
            <w:r>
              <w:rPr>
                <w:rFonts w:ascii="Arial" w:hAnsi="Arial" w:cs="Arial"/>
                <w:color w:val="6C6361"/>
              </w:rPr>
              <w:t xml:space="preserve">unjust enrichment in Hong Kong. </w:t>
            </w:r>
          </w:p>
        </w:tc>
      </w:tr>
    </w:tbl>
    <w:p w:rsidR="009F393D" w:rsidRPr="00ED1C43" w:rsidRDefault="009F393D" w:rsidP="009F393D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9F393D" w:rsidRPr="00C53DC2" w:rsidTr="005D020E">
        <w:trPr>
          <w:trHeight w:val="1519"/>
          <w:jc w:val="center"/>
        </w:trPr>
        <w:tc>
          <w:tcPr>
            <w:tcW w:w="1077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9F393D" w:rsidRPr="00C53DC2" w:rsidRDefault="009F393D" w:rsidP="005D020E">
            <w:p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This presentation sets out to explore both the Hong Kong and English case law on freezing injunctions.  It focuses predominately on the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mareva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injunction - from the earlier days after its invention to the very present, when there are emerging an increasing number of decisions which showcase its utility as a pre-emptive relief available here to litigants in foreign proceedings.  In the practical session participants will have the opportunity to consider a case study and review draft documentation for the application of a worldwide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mareva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injunction.</w:t>
            </w:r>
          </w:p>
        </w:tc>
      </w:tr>
      <w:tr w:rsidR="009F393D" w:rsidRPr="00C53DC2" w:rsidTr="005D020E">
        <w:trPr>
          <w:trHeight w:val="284"/>
          <w:jc w:val="center"/>
        </w:trPr>
        <w:tc>
          <w:tcPr>
            <w:tcW w:w="10773" w:type="dxa"/>
            <w:tcBorders>
              <w:top w:val="nil"/>
            </w:tcBorders>
            <w:shd w:val="clear" w:color="auto" w:fill="F0EBE1"/>
            <w:vAlign w:val="center"/>
          </w:tcPr>
          <w:p w:rsidR="009F393D" w:rsidRPr="00C53DC2" w:rsidRDefault="009F393D" w:rsidP="005D020E">
            <w:pPr>
              <w:spacing w:line="276" w:lineRule="auto"/>
              <w:rPr>
                <w:rFonts w:ascii="Arial" w:eastAsia="Times New Roman" w:hAnsi="Arial" w:cs="Arial"/>
                <w:b/>
                <w:color w:val="524B48"/>
                <w:sz w:val="20"/>
                <w:szCs w:val="20"/>
              </w:rPr>
            </w:pPr>
            <w:r w:rsidRPr="00C53DC2">
              <w:rPr>
                <w:rFonts w:ascii="Arial" w:eastAsia="Times New Roman" w:hAnsi="Arial" w:cs="Arial"/>
                <w:b/>
                <w:color w:val="524B48"/>
                <w:sz w:val="20"/>
                <w:szCs w:val="20"/>
              </w:rPr>
              <w:t xml:space="preserve">The </w:t>
            </w:r>
            <w:proofErr w:type="spellStart"/>
            <w:r w:rsidRPr="00C53DC2">
              <w:rPr>
                <w:rFonts w:ascii="Arial" w:eastAsia="Times New Roman" w:hAnsi="Arial" w:cs="Arial"/>
                <w:b/>
                <w:color w:val="524B48"/>
                <w:sz w:val="20"/>
                <w:szCs w:val="20"/>
              </w:rPr>
              <w:t>Mareva</w:t>
            </w:r>
            <w:proofErr w:type="spellEnd"/>
            <w:r w:rsidRPr="00C53DC2">
              <w:rPr>
                <w:rFonts w:ascii="Arial" w:eastAsia="Times New Roman" w:hAnsi="Arial" w:cs="Arial"/>
                <w:b/>
                <w:color w:val="524B48"/>
                <w:sz w:val="20"/>
                <w:szCs w:val="20"/>
              </w:rPr>
              <w:t xml:space="preserve"> and Proprietary Injunctions Distinguished</w:t>
            </w:r>
          </w:p>
        </w:tc>
      </w:tr>
      <w:tr w:rsidR="009F393D" w:rsidRPr="00C53DC2" w:rsidTr="005D020E">
        <w:trPr>
          <w:trHeight w:val="284"/>
          <w:jc w:val="center"/>
        </w:trPr>
        <w:tc>
          <w:tcPr>
            <w:tcW w:w="10773" w:type="dxa"/>
            <w:shd w:val="clear" w:color="auto" w:fill="FFFFFF"/>
            <w:vAlign w:val="center"/>
          </w:tcPr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Polly Peck International plc. v Nadir and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Ors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(No.2) [1992] 4 All ER 769</w:t>
            </w:r>
          </w:p>
        </w:tc>
      </w:tr>
      <w:tr w:rsidR="009F393D" w:rsidRPr="00C53DC2" w:rsidTr="005D020E">
        <w:trPr>
          <w:trHeight w:val="28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9F393D" w:rsidRPr="00C53DC2" w:rsidRDefault="009F393D" w:rsidP="005D020E">
            <w:pPr>
              <w:spacing w:line="276" w:lineRule="auto"/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C53DC2">
              <w:rPr>
                <w:rFonts w:ascii="Arial" w:hAnsi="Arial" w:cs="Arial"/>
                <w:b/>
                <w:color w:val="524B48"/>
                <w:sz w:val="20"/>
                <w:szCs w:val="20"/>
              </w:rPr>
              <w:t xml:space="preserve">Milestones in the Case Law on the </w:t>
            </w:r>
            <w:proofErr w:type="spellStart"/>
            <w:r w:rsidRPr="00C53DC2">
              <w:rPr>
                <w:rFonts w:ascii="Arial" w:hAnsi="Arial" w:cs="Arial"/>
                <w:b/>
                <w:color w:val="524B48"/>
                <w:sz w:val="20"/>
                <w:szCs w:val="20"/>
              </w:rPr>
              <w:t>Mareva</w:t>
            </w:r>
            <w:proofErr w:type="spellEnd"/>
            <w:r w:rsidRPr="00C53DC2">
              <w:rPr>
                <w:rFonts w:ascii="Arial" w:hAnsi="Arial" w:cs="Arial"/>
                <w:b/>
                <w:color w:val="524B48"/>
                <w:sz w:val="20"/>
                <w:szCs w:val="20"/>
              </w:rPr>
              <w:t xml:space="preserve"> Jurisdiction</w:t>
            </w:r>
          </w:p>
        </w:tc>
      </w:tr>
      <w:tr w:rsidR="009F393D" w:rsidRPr="00C53DC2" w:rsidTr="005D020E">
        <w:trPr>
          <w:trHeight w:val="2278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Rahman (Prince Abdul) bin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Turki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al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Sudairy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v Abu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Taba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and Another [1980] 1 WLR 1268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Z Ltd. v A-Z and AA-LL [1982] QB 558 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Derby Co Ltd. v Weldon (No.1) [1990]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Ch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48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Babanaft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International Co. SA v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Bassatne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[1990]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Ch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13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Derby &amp; Co. v Weldon (No. 3 &amp; 4) [1990]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Ch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65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Bank of India v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Murjani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and others [1989] 2 HKLR 318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Illustrious Assets Ltd. v Lu Chung Chun [2008] 3 HKC 313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Dadourian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Group International Inc. v Simms [2006] 3 All ER 48</w:t>
            </w:r>
          </w:p>
        </w:tc>
      </w:tr>
      <w:tr w:rsidR="009F393D" w:rsidRPr="00C53DC2" w:rsidTr="005D020E">
        <w:trPr>
          <w:trHeight w:val="28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9F393D" w:rsidRPr="00C53DC2" w:rsidRDefault="009F393D" w:rsidP="005D020E">
            <w:pPr>
              <w:spacing w:line="276" w:lineRule="auto"/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C53DC2">
              <w:rPr>
                <w:rFonts w:ascii="Arial" w:hAnsi="Arial" w:cs="Arial"/>
                <w:b/>
                <w:color w:val="524B48"/>
                <w:sz w:val="20"/>
                <w:szCs w:val="20"/>
              </w:rPr>
              <w:t>Risks of Dissipation</w:t>
            </w:r>
          </w:p>
        </w:tc>
      </w:tr>
      <w:tr w:rsidR="009F393D" w:rsidRPr="00C53DC2" w:rsidTr="005D020E">
        <w:trPr>
          <w:trHeight w:val="982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Felixstowe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Dock &amp; Railway Co. v United States Lines [1958] QB 360 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Honsaico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Trading Co. Ltd. v Hong Kong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Yiah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Seng Co. Ltd. [1990] 1 HKLR 235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524B48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Ketchum International plc. v Public Relations Holding Ltd. [1997] 1 WLR 4</w:t>
            </w:r>
          </w:p>
        </w:tc>
      </w:tr>
      <w:tr w:rsidR="009F393D" w:rsidRPr="00C53DC2" w:rsidTr="005D020E">
        <w:trPr>
          <w:trHeight w:val="28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9F393D" w:rsidRPr="00C53DC2" w:rsidRDefault="009F393D" w:rsidP="005D020E">
            <w:pPr>
              <w:spacing w:line="276" w:lineRule="auto"/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C53DC2">
              <w:rPr>
                <w:rFonts w:ascii="Arial" w:hAnsi="Arial" w:cs="Arial"/>
                <w:b/>
                <w:color w:val="524B48"/>
                <w:sz w:val="20"/>
                <w:szCs w:val="20"/>
              </w:rPr>
              <w:t>Full and Frank Disclosure</w:t>
            </w:r>
          </w:p>
        </w:tc>
      </w:tr>
      <w:tr w:rsidR="009F393D" w:rsidRPr="00C53DC2" w:rsidTr="005D020E">
        <w:trPr>
          <w:trHeight w:val="1412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Bank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Mellat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v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Nikpour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[1985] FSR 87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Citibank NA v Express Ship Management Services [1987] HKLR 1184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Standard Chartered Securities Ltd. v Lai Arthur &amp;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Ors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[1993] 1 HKC 375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Memory Corporation plc. v Sidhu (No.1) [2000] 1 WLR 1443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RACP Pharmaceutical Holdings Ltd. v Li Xiaobo 14 April 2008 HCA 490/2007</w:t>
            </w:r>
          </w:p>
        </w:tc>
      </w:tr>
    </w:tbl>
    <w:p w:rsidR="009F393D" w:rsidRPr="00ED1C43" w:rsidRDefault="009F393D" w:rsidP="009F393D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5385"/>
        <w:gridCol w:w="5388"/>
      </w:tblGrid>
      <w:tr w:rsidR="009F393D" w:rsidRPr="00C53DC2" w:rsidTr="005D020E">
        <w:trPr>
          <w:trHeight w:val="284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9F393D" w:rsidRPr="00C53DC2" w:rsidRDefault="009F393D" w:rsidP="005D020E">
            <w:pPr>
              <w:spacing w:line="276" w:lineRule="auto"/>
              <w:jc w:val="left"/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C53DC2">
              <w:rPr>
                <w:rFonts w:ascii="Arial" w:hAnsi="Arial" w:cs="Arial"/>
                <w:b/>
                <w:color w:val="524B48"/>
                <w:sz w:val="20"/>
                <w:szCs w:val="20"/>
              </w:rPr>
              <w:lastRenderedPageBreak/>
              <w:t>Documentation for the Application</w:t>
            </w:r>
          </w:p>
        </w:tc>
      </w:tr>
      <w:tr w:rsidR="009F393D" w:rsidRPr="00C53DC2" w:rsidTr="005D020E">
        <w:trPr>
          <w:trHeight w:val="613"/>
          <w:jc w:val="center"/>
        </w:trPr>
        <w:tc>
          <w:tcPr>
            <w:tcW w:w="538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Practice Direction 11.2 and Sample Order</w:t>
            </w:r>
          </w:p>
          <w:p w:rsidR="009F393D" w:rsidRPr="004B1318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Draft endorsement of Writ of Summons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Supporting Affirmation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Skeleton argument for worldwide freezing injunction</w:t>
            </w:r>
          </w:p>
        </w:tc>
      </w:tr>
      <w:tr w:rsidR="009F393D" w:rsidRPr="00C53DC2" w:rsidTr="005D020E">
        <w:trPr>
          <w:trHeight w:val="284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9F393D" w:rsidRPr="00C53DC2" w:rsidRDefault="009F393D" w:rsidP="005D020E">
            <w:pPr>
              <w:spacing w:line="276" w:lineRule="auto"/>
              <w:jc w:val="left"/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C53DC2">
              <w:rPr>
                <w:rFonts w:ascii="Arial" w:hAnsi="Arial" w:cs="Arial"/>
                <w:b/>
                <w:color w:val="524B48"/>
                <w:sz w:val="20"/>
                <w:szCs w:val="20"/>
              </w:rPr>
              <w:t>Discovery Orders Against the Defendants and Third Parties</w:t>
            </w:r>
          </w:p>
        </w:tc>
      </w:tr>
      <w:tr w:rsidR="009F393D" w:rsidRPr="00C53DC2" w:rsidTr="005D020E">
        <w:trPr>
          <w:trHeight w:val="2469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9F393D" w:rsidRPr="00C53DC2" w:rsidRDefault="009F393D" w:rsidP="005D020E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Policing the injunction</w:t>
            </w:r>
          </w:p>
          <w:p w:rsidR="009F393D" w:rsidRPr="00C53DC2" w:rsidRDefault="009F393D" w:rsidP="005D020E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The position of banks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Bankers Trust Co. v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Shapira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[1980] 1 WLR 1274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A and B v C [1981] QB 956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Z Ltd. v A and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Ors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[1982] 1 All ER 556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Gidrxslme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Shipping Co. Ltd. v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Tantamar-Transportes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Maritimos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Lda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[1994] 4 All ER 507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Dadourian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Group International Inc. and others v Simms and another [2007] 2 All ER 329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Chen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Wenjun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v Liu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Luyuan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[2014] HKEC 1457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Customs &amp; Excise Commissioners v Barclays Bank plc. [2004] 2 All ER 789</w:t>
            </w:r>
          </w:p>
        </w:tc>
      </w:tr>
      <w:tr w:rsidR="009F393D" w:rsidRPr="00C53DC2" w:rsidTr="005D020E">
        <w:trPr>
          <w:trHeight w:val="284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9F393D" w:rsidRPr="00C53DC2" w:rsidRDefault="009F393D" w:rsidP="005D020E">
            <w:pPr>
              <w:spacing w:line="276" w:lineRule="auto"/>
              <w:jc w:val="left"/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C53DC2">
              <w:rPr>
                <w:rFonts w:ascii="Arial" w:hAnsi="Arial" w:cs="Arial"/>
                <w:b/>
                <w:color w:val="524B48"/>
                <w:sz w:val="20"/>
                <w:szCs w:val="20"/>
              </w:rPr>
              <w:t>Injunction and Ancillary Disclosure Order Against Non Party</w:t>
            </w:r>
          </w:p>
        </w:tc>
      </w:tr>
      <w:tr w:rsidR="009F393D" w:rsidRPr="00C53DC2" w:rsidTr="005D020E">
        <w:trPr>
          <w:trHeight w:val="5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9F393D" w:rsidRPr="00C53DC2" w:rsidRDefault="009F393D" w:rsidP="005D020E">
            <w:pPr>
              <w:spacing w:line="276" w:lineRule="auto"/>
              <w:jc w:val="left"/>
              <w:rPr>
                <w:rFonts w:ascii="Arial" w:hAnsi="Arial" w:cs="Arial"/>
                <w:color w:val="6C6361"/>
                <w:sz w:val="2"/>
                <w:szCs w:val="2"/>
              </w:rPr>
            </w:pPr>
          </w:p>
        </w:tc>
      </w:tr>
      <w:tr w:rsidR="009F393D" w:rsidRPr="00C53DC2" w:rsidTr="005D020E">
        <w:trPr>
          <w:trHeight w:val="284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9F393D" w:rsidRPr="00C53DC2" w:rsidRDefault="009F393D" w:rsidP="005D020E">
            <w:pPr>
              <w:spacing w:line="276" w:lineRule="auto"/>
              <w:jc w:val="left"/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C53DC2">
              <w:rPr>
                <w:rFonts w:ascii="Arial" w:hAnsi="Arial" w:cs="Arial"/>
                <w:b/>
                <w:color w:val="524B48"/>
                <w:sz w:val="20"/>
                <w:szCs w:val="20"/>
              </w:rPr>
              <w:t>Injunction Against Non Party in Aid of Execution</w:t>
            </w:r>
          </w:p>
        </w:tc>
      </w:tr>
      <w:tr w:rsidR="009F393D" w:rsidRPr="00C53DC2" w:rsidTr="005D020E">
        <w:trPr>
          <w:trHeight w:val="585"/>
          <w:jc w:val="center"/>
        </w:trPr>
        <w:tc>
          <w:tcPr>
            <w:tcW w:w="538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9F393D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TSB Private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 Bank International AS v </w:t>
            </w:r>
            <w:proofErr w:type="spellStart"/>
            <w:r>
              <w:rPr>
                <w:rFonts w:ascii="Arial" w:hAnsi="Arial" w:cs="Arial"/>
                <w:color w:val="6C6361"/>
                <w:sz w:val="20"/>
                <w:szCs w:val="20"/>
              </w:rPr>
              <w:t>Chabra</w:t>
            </w:r>
            <w:proofErr w:type="spellEnd"/>
          </w:p>
          <w:p w:rsidR="009F393D" w:rsidRPr="004B1318" w:rsidRDefault="009F393D" w:rsidP="005D020E">
            <w:pPr>
              <w:pStyle w:val="ListParagraph"/>
              <w:spacing w:line="276" w:lineRule="auto"/>
              <w:ind w:left="360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[1989] 1 Lloyd’s Rep 250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C Inc. plc. v L [2001] 2 Lloyds Rep 459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Yukong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Line V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Rendsburg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[2001] 2 Lloyds’ Rep 113</w:t>
            </w:r>
          </w:p>
        </w:tc>
      </w:tr>
      <w:tr w:rsidR="009F393D" w:rsidRPr="00C53DC2" w:rsidTr="005D020E">
        <w:trPr>
          <w:trHeight w:val="284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9F393D" w:rsidRPr="00C53DC2" w:rsidRDefault="009F393D" w:rsidP="005D020E">
            <w:pPr>
              <w:spacing w:line="276" w:lineRule="auto"/>
              <w:jc w:val="left"/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C53DC2">
              <w:rPr>
                <w:rFonts w:ascii="Arial" w:hAnsi="Arial" w:cs="Arial"/>
                <w:b/>
                <w:color w:val="524B48"/>
                <w:sz w:val="20"/>
                <w:szCs w:val="20"/>
              </w:rPr>
              <w:t>Gagging Orders</w:t>
            </w:r>
          </w:p>
        </w:tc>
      </w:tr>
      <w:tr w:rsidR="009F393D" w:rsidRPr="00C53DC2" w:rsidTr="005D020E">
        <w:trPr>
          <w:trHeight w:val="284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A Co v B Co. [2002] 2 HKC 497</w:t>
            </w:r>
          </w:p>
        </w:tc>
      </w:tr>
      <w:tr w:rsidR="009F393D" w:rsidRPr="00C53DC2" w:rsidTr="005D020E">
        <w:trPr>
          <w:trHeight w:val="284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9F393D" w:rsidRPr="00C53DC2" w:rsidRDefault="009F393D" w:rsidP="005D020E">
            <w:pPr>
              <w:spacing w:line="276" w:lineRule="auto"/>
              <w:jc w:val="left"/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C53DC2">
              <w:rPr>
                <w:rFonts w:ascii="Arial" w:hAnsi="Arial" w:cs="Arial"/>
                <w:b/>
                <w:color w:val="524B48"/>
                <w:sz w:val="20"/>
                <w:szCs w:val="20"/>
              </w:rPr>
              <w:t>Freezing Injunctions in Aid of Foreign Proceedings</w:t>
            </w:r>
          </w:p>
        </w:tc>
      </w:tr>
      <w:tr w:rsidR="009F393D" w:rsidRPr="00C53DC2" w:rsidTr="005D020E">
        <w:trPr>
          <w:trHeight w:val="5103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Siskina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(Owners of cargo lately laden on board) v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Distos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Compania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Naviera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SA (The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Siskina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)</w:t>
            </w:r>
          </w:p>
          <w:p w:rsidR="009F393D" w:rsidRPr="00C53DC2" w:rsidRDefault="009F393D" w:rsidP="005D020E">
            <w:pPr>
              <w:pStyle w:val="ListParagraph"/>
              <w:spacing w:line="276" w:lineRule="auto"/>
              <w:ind w:left="360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[1979] AC 210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s.21M High Court Ordinance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s.2GC Arbitration Ordinance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  <w:u w:val="single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  <w:u w:val="single"/>
              </w:rPr>
              <w:t>English Cases</w:t>
            </w:r>
          </w:p>
          <w:p w:rsidR="009F393D" w:rsidRPr="00C53DC2" w:rsidRDefault="009F393D" w:rsidP="005D020E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Republic of Haiti and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Ors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v Duvalier and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Ors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[1990] 1 QB 202</w:t>
            </w:r>
          </w:p>
          <w:p w:rsidR="009F393D" w:rsidRPr="00C53DC2" w:rsidRDefault="009F393D" w:rsidP="005D020E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Credit Suisse fides Trust SA v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Cuoghi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[1998] QB 818</w:t>
            </w:r>
          </w:p>
          <w:p w:rsidR="009F393D" w:rsidRPr="00C53DC2" w:rsidRDefault="009F393D" w:rsidP="005D020E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Refco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Inc. &amp;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Ors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v Eastern Trading Co. &amp;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Ors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[1999] 1 Lloyds Rep 157</w:t>
            </w:r>
          </w:p>
          <w:p w:rsidR="009F393D" w:rsidRPr="00C53DC2" w:rsidRDefault="009F393D" w:rsidP="005D020E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Motorola Credit Corp. v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Uzan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&amp;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Ors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[2004] 1 WLR 113</w:t>
            </w:r>
          </w:p>
          <w:p w:rsidR="009F393D" w:rsidRPr="00C53DC2" w:rsidRDefault="009F393D" w:rsidP="005D020E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Belletti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&amp;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Ors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v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Morici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&amp;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Ors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[2009] 2 C.L.C 525</w:t>
            </w:r>
          </w:p>
          <w:p w:rsidR="009F393D" w:rsidRPr="00C53DC2" w:rsidRDefault="009F393D" w:rsidP="005D020E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JSC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Mezhdunarodniy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Promyshlennity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Bank, State Corporation “Deposit Insurance Agency”</w:t>
            </w:r>
          </w:p>
          <w:p w:rsidR="009F393D" w:rsidRPr="00C53DC2" w:rsidRDefault="009F393D" w:rsidP="005D020E">
            <w:pPr>
              <w:pStyle w:val="ListParagraph"/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v Sergei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Viktorovich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Pugachev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[2014] EWHC 4336</w:t>
            </w:r>
          </w:p>
          <w:p w:rsidR="009F393D" w:rsidRPr="00C53DC2" w:rsidRDefault="009F393D" w:rsidP="005D020E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  <w:u w:val="single"/>
              </w:rPr>
            </w:pPr>
            <w:r w:rsidRPr="0013289A">
              <w:rPr>
                <w:rFonts w:ascii="Arial" w:hAnsi="Arial" w:cs="Arial"/>
                <w:noProof/>
                <w:color w:val="6C6361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1B3D9CFA" wp14:editId="25BBE55C">
                  <wp:simplePos x="0" y="0"/>
                  <wp:positionH relativeFrom="column">
                    <wp:posOffset>5769610</wp:posOffset>
                  </wp:positionH>
                  <wp:positionV relativeFrom="paragraph">
                    <wp:posOffset>68580</wp:posOffset>
                  </wp:positionV>
                  <wp:extent cx="895985" cy="1022350"/>
                  <wp:effectExtent l="0" t="0" r="0" b="63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3DC2">
              <w:rPr>
                <w:rFonts w:ascii="Arial" w:hAnsi="Arial" w:cs="Arial"/>
                <w:color w:val="6C6361"/>
                <w:sz w:val="20"/>
                <w:szCs w:val="20"/>
                <w:u w:val="single"/>
              </w:rPr>
              <w:t>Hong Kong Cases</w:t>
            </w:r>
          </w:p>
          <w:p w:rsidR="009F393D" w:rsidRPr="00C53DC2" w:rsidRDefault="009F393D" w:rsidP="005D020E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Deiulemar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Shipping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SpA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v Transfield ER Futures Ltd. [2011] 1 HKLRD 75</w:t>
            </w:r>
          </w:p>
          <w:p w:rsidR="009F393D" w:rsidRPr="00C53DC2" w:rsidRDefault="009F393D" w:rsidP="005D020E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JSC BTA Bank v Mukhtar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Kabulovich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Ablyazov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17 February 2014 HCMP 341/2014</w:t>
            </w:r>
          </w:p>
          <w:p w:rsidR="009F393D" w:rsidRPr="00C53DC2" w:rsidRDefault="009F393D" w:rsidP="005D020E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Pacific King Shipping Holdings Pte. Ltd. V Huang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Ziqiang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[2015] 1 HKLRD 830 </w:t>
            </w:r>
          </w:p>
          <w:p w:rsidR="009F393D" w:rsidRPr="00C53DC2" w:rsidRDefault="009F393D" w:rsidP="005D020E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Ming Hsieh v Xu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Zhe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and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Ors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10 April 2015 HCMP 3027/2014</w:t>
            </w:r>
          </w:p>
          <w:p w:rsidR="009F393D" w:rsidRDefault="009F393D" w:rsidP="005D020E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Campania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Sud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Americana De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Vapores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 SA v </w:t>
            </w:r>
            <w:proofErr w:type="spellStart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Hin</w:t>
            </w:r>
            <w:proofErr w:type="spellEnd"/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 xml:space="preserve">-Pro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International Logistics Limited</w:t>
            </w:r>
          </w:p>
          <w:p w:rsidR="009F393D" w:rsidRPr="004B1318" w:rsidRDefault="009F393D" w:rsidP="005D020E">
            <w:pPr>
              <w:pStyle w:val="ListParagraph"/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C53DC2">
              <w:rPr>
                <w:rFonts w:ascii="Arial" w:hAnsi="Arial" w:cs="Arial"/>
                <w:color w:val="6C6361"/>
                <w:sz w:val="20"/>
                <w:szCs w:val="20"/>
              </w:rPr>
              <w:t>(in Receivership)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 </w:t>
            </w:r>
            <w:r w:rsidRPr="004B1318">
              <w:rPr>
                <w:rFonts w:ascii="Arial" w:hAnsi="Arial" w:cs="Arial"/>
                <w:color w:val="6C6361"/>
                <w:sz w:val="20"/>
                <w:szCs w:val="20"/>
              </w:rPr>
              <w:t>11 March 2015 CACV 243/2014</w:t>
            </w:r>
          </w:p>
        </w:tc>
      </w:tr>
    </w:tbl>
    <w:p w:rsidR="009F393D" w:rsidRPr="00ED1C43" w:rsidRDefault="009F393D" w:rsidP="009F393D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9F393D" w:rsidRPr="00B90951" w:rsidTr="005D020E">
        <w:trPr>
          <w:trHeight w:val="284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EVT000000078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9F393D" w:rsidRPr="00B90951" w:rsidTr="005D020E">
        <w:trPr>
          <w:trHeight w:val="28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 October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2015 (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Monday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9F393D" w:rsidRPr="00B90951" w:rsidTr="005D020E">
        <w:trPr>
          <w:trHeight w:val="28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14:30 - 17:45</w:t>
            </w:r>
          </w:p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color w:val="6C6361"/>
                <w:sz w:val="20"/>
                <w:szCs w:val="20"/>
              </w:rPr>
              <w:t>(Reception starts at 14:00)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F393D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3.0 CPD Points</w:t>
            </w:r>
          </w:p>
          <w:p w:rsidR="009F393D" w:rsidRPr="00ED1C43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D1C43">
              <w:rPr>
                <w:rFonts w:ascii="Arial" w:hAnsi="Arial" w:cs="Arial"/>
                <w:color w:val="6C6361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LSHK Allocated Number: </w:t>
            </w:r>
            <w:r w:rsidRPr="00ED1C43">
              <w:rPr>
                <w:rFonts w:ascii="Arial" w:hAnsi="Arial" w:cs="Arial"/>
                <w:color w:val="6C6361"/>
                <w:sz w:val="20"/>
                <w:szCs w:val="20"/>
              </w:rPr>
              <w:t>20152262)</w:t>
            </w:r>
          </w:p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9F393D" w:rsidRPr="00B90951" w:rsidTr="005D020E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9F393D" w:rsidRPr="00B90951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9F393D" w:rsidRPr="00B90951" w:rsidRDefault="009F393D" w:rsidP="005D020E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345AB94A" wp14:editId="17830E92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93D" w:rsidRPr="00B90951" w:rsidRDefault="009F393D" w:rsidP="005D020E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9F393D" w:rsidRPr="001F18B3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1F18B3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9F393D" w:rsidRPr="001F18B3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1F18B3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9F393D" w:rsidRPr="001F18B3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F18B3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1F18B3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9F393D" w:rsidRPr="001F18B3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F18B3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F393D" w:rsidRPr="00156567" w:rsidRDefault="009F393D" w:rsidP="005D0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19D2C3D8" wp14:editId="45AFEFEA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9F393D" w:rsidRDefault="00214BC6" w:rsidP="009F393D"/>
    <w:sectPr w:rsidR="00214BC6" w:rsidRPr="009F393D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EFA" w:rsidRDefault="00EA7EFA" w:rsidP="00546556">
      <w:r>
        <w:separator/>
      </w:r>
    </w:p>
  </w:endnote>
  <w:endnote w:type="continuationSeparator" w:id="0">
    <w:p w:rsidR="00EA7EFA" w:rsidRDefault="00EA7EFA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EFA" w:rsidRDefault="00EA7EFA" w:rsidP="00546556">
      <w:r>
        <w:separator/>
      </w:r>
    </w:p>
  </w:footnote>
  <w:footnote w:type="continuationSeparator" w:id="0">
    <w:p w:rsidR="00EA7EFA" w:rsidRDefault="00EA7EFA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37D5682"/>
    <w:multiLevelType w:val="multilevel"/>
    <w:tmpl w:val="F0F23232"/>
    <w:lvl w:ilvl="0">
      <w:start w:val="5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1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xqlm3qisRJTJIjLML+9/6TUA0CW7L75uPub9eM3K1j3Hb4MXFzr+3E0Z7w55ZuhM+HCdWps5RqjPfN2k4NIq6w==" w:salt="LoX+Qy+sIlcY1y36Yyk30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6792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393D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1645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15B9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8D4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87B58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A7EFA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d.hk/evt000000078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rofectional.com/presenters/idl000010267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A7348-4677-45EA-92F1-ECB3E60F7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Land Valuation</vt:lpstr>
    </vt:vector>
  </TitlesOfParts>
  <Manager>Tyrone Tsang</Manager>
  <Company>The Profectional Company Limited</Company>
  <LinksUpToDate>false</LinksUpToDate>
  <CharactersWithSpaces>4848</CharactersWithSpaces>
  <SharedDoc>false</SharedDoc>
  <HyperlinkBase>http://download.profectional.com/events/EVT000000078.docx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Freezing Injunctions</dc:title>
  <dc:subject>CPD Course, CPT Course: Freezing Injunctions</dc:subject>
  <dc:creator>The Profectional Company Limited</dc:creator>
  <cp:keywords>Profectional; Kornerstone; CPD; CPT; CLE; CE; RME; Clemence Yeung; Barrister-at-Law</cp:keywords>
  <cp:lastModifiedBy>Tyrone Tsang</cp:lastModifiedBy>
  <cp:revision>4</cp:revision>
  <cp:lastPrinted>2015-10-12T06:44:00Z</cp:lastPrinted>
  <dcterms:created xsi:type="dcterms:W3CDTF">2015-03-14T15:51:00Z</dcterms:created>
  <dcterms:modified xsi:type="dcterms:W3CDTF">2015-10-12T06:44:00Z</dcterms:modified>
</cp:coreProperties>
</file>