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CC2" w:rsidRPr="002F4CC2" w:rsidRDefault="002F4CC2" w:rsidP="002F4CC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F4CC2" w:rsidRPr="00523A64" w:rsidTr="00D37E37">
        <w:trPr>
          <w:trHeight w:val="3119"/>
          <w:jc w:val="center"/>
        </w:trPr>
        <w:tc>
          <w:tcPr>
            <w:tcW w:w="4820" w:type="dxa"/>
            <w:shd w:val="clear" w:color="auto" w:fill="FFFFFF"/>
            <w:vAlign w:val="center"/>
          </w:tcPr>
          <w:p w:rsidR="002F4CC2" w:rsidRPr="001A3018" w:rsidRDefault="002F4CC2" w:rsidP="00D37E37">
            <w:pPr>
              <w:jc w:val="center"/>
              <w:rPr>
                <w:rFonts w:ascii="Arial" w:hAnsi="Arial" w:cs="Arial"/>
                <w:b/>
                <w:bCs/>
                <w:color w:val="524B48"/>
                <w:sz w:val="4"/>
                <w:szCs w:val="4"/>
              </w:rPr>
            </w:pPr>
          </w:p>
          <w:p w:rsidR="002F4CC2" w:rsidRPr="00D727FF" w:rsidRDefault="002F4CC2" w:rsidP="00D37E37">
            <w:pPr>
              <w:jc w:val="center"/>
              <w:rPr>
                <w:rStyle w:val="Hyperlink"/>
                <w:rFonts w:ascii="Arial" w:hAnsi="Arial" w:cs="Arial"/>
                <w:b/>
                <w:bCs/>
                <w:color w:val="524B48"/>
                <w:sz w:val="32"/>
                <w:szCs w:val="32"/>
                <w:u w:val="none"/>
              </w:rPr>
            </w:pPr>
            <w:r w:rsidRPr="00CF685C">
              <w:fldChar w:fldCharType="begin"/>
            </w:r>
            <w:r>
              <w:instrText>HYPERLINK "http://cpd.hk/evt000000080/"</w:instrText>
            </w:r>
            <w:r w:rsidRPr="00CF685C">
              <w:fldChar w:fldCharType="separate"/>
            </w:r>
            <w:r w:rsidRPr="00D727FF">
              <w:rPr>
                <w:rStyle w:val="Hyperlink"/>
                <w:rFonts w:ascii="Arial" w:hAnsi="Arial" w:cs="Arial"/>
                <w:b/>
                <w:bCs/>
                <w:color w:val="524B48"/>
                <w:sz w:val="32"/>
                <w:szCs w:val="32"/>
                <w:u w:val="none"/>
              </w:rPr>
              <w:t>Ancillary Relief</w:t>
            </w:r>
          </w:p>
          <w:p w:rsidR="002F4CC2" w:rsidRPr="00D727FF" w:rsidRDefault="002F4CC2" w:rsidP="00D37E37">
            <w:pPr>
              <w:jc w:val="center"/>
              <w:rPr>
                <w:rStyle w:val="Hyperlink"/>
                <w:rFonts w:ascii="Arial" w:hAnsi="Arial" w:cs="Arial"/>
                <w:b/>
                <w:bCs/>
                <w:color w:val="524B48"/>
                <w:sz w:val="32"/>
                <w:szCs w:val="32"/>
                <w:u w:val="none"/>
              </w:rPr>
            </w:pPr>
            <w:r w:rsidRPr="00D727FF">
              <w:rPr>
                <w:rStyle w:val="Hyperlink"/>
                <w:rFonts w:ascii="Arial" w:hAnsi="Arial" w:cs="Arial"/>
                <w:b/>
                <w:bCs/>
                <w:color w:val="524B48"/>
                <w:sz w:val="32"/>
                <w:szCs w:val="32"/>
                <w:u w:val="none"/>
              </w:rPr>
              <w:t>and Recent Changes to</w:t>
            </w:r>
          </w:p>
          <w:p w:rsidR="002F4CC2" w:rsidRPr="00CF685C" w:rsidRDefault="002F4CC2" w:rsidP="00D37E3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Matrimonial Law</w:t>
            </w:r>
          </w:p>
          <w:p w:rsidR="002F4CC2" w:rsidRPr="00C65AFD" w:rsidRDefault="002F4CC2" w:rsidP="00D37E37">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2F4CC2" w:rsidRPr="00C65AFD" w:rsidRDefault="002F4CC2" w:rsidP="00D37E37">
            <w:pPr>
              <w:jc w:val="center"/>
              <w:rPr>
                <w:rFonts w:ascii="Arial" w:hAnsi="Arial" w:cs="Arial"/>
                <w:i/>
                <w:color w:val="6C6361"/>
                <w:sz w:val="24"/>
                <w:szCs w:val="24"/>
              </w:rPr>
            </w:pPr>
            <w:r w:rsidRPr="00C65AFD">
              <w:rPr>
                <w:rFonts w:ascii="Arial" w:hAnsi="Arial" w:cs="Arial"/>
                <w:i/>
                <w:color w:val="6C6361"/>
                <w:sz w:val="24"/>
                <w:szCs w:val="24"/>
              </w:rPr>
              <w:t>by</w:t>
            </w:r>
          </w:p>
          <w:p w:rsidR="002F4CC2" w:rsidRDefault="002F4CC2" w:rsidP="00D37E37">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w:t>
              </w:r>
              <w:r w:rsidRPr="00813E0C">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Robin Egerton</w:t>
              </w:r>
            </w:hyperlink>
            <w:r>
              <w:rPr>
                <w:rStyle w:val="Hyperlink"/>
                <w:rFonts w:ascii="Arial" w:hAnsi="Arial" w:cs="Arial"/>
                <w:color w:val="6C6361"/>
                <w:sz w:val="24"/>
                <w:szCs w:val="24"/>
                <w:u w:val="none"/>
              </w:rPr>
              <w:t>,</w:t>
            </w:r>
          </w:p>
          <w:p w:rsidR="002F4CC2" w:rsidRPr="00F812B8" w:rsidRDefault="002F4CC2" w:rsidP="00D37E37">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p>
          <w:p w:rsidR="002F4CC2" w:rsidRDefault="002F4CC2" w:rsidP="00D37E37">
            <w:pPr>
              <w:jc w:val="center"/>
              <w:rPr>
                <w:rFonts w:ascii="Arial" w:hAnsi="Arial" w:cs="Arial"/>
                <w:color w:val="6C6361"/>
                <w:sz w:val="24"/>
                <w:szCs w:val="24"/>
              </w:rPr>
            </w:pPr>
            <w:r>
              <w:rPr>
                <w:rFonts w:ascii="Arial" w:hAnsi="Arial" w:cs="Arial"/>
                <w:color w:val="6C6361"/>
                <w:sz w:val="24"/>
                <w:szCs w:val="24"/>
              </w:rPr>
              <w:t>Parkside Chambers</w:t>
            </w:r>
          </w:p>
          <w:p w:rsidR="002F4CC2" w:rsidRPr="00D87ECF" w:rsidRDefault="002F4CC2" w:rsidP="00D37E37">
            <w:pPr>
              <w:jc w:val="center"/>
              <w:rPr>
                <w:rFonts w:ascii="Arial" w:hAnsi="Arial" w:cs="Arial"/>
                <w:color w:val="6C6361"/>
                <w:sz w:val="8"/>
                <w:szCs w:val="8"/>
              </w:rPr>
            </w:pPr>
          </w:p>
        </w:tc>
        <w:tc>
          <w:tcPr>
            <w:tcW w:w="5954" w:type="dxa"/>
            <w:shd w:val="clear" w:color="auto" w:fill="FFFFFF"/>
            <w:vAlign w:val="center"/>
          </w:tcPr>
          <w:p w:rsidR="002F4CC2" w:rsidRPr="00D50772" w:rsidRDefault="002F4CC2" w:rsidP="00D37E37">
            <w:pPr>
              <w:spacing w:line="276" w:lineRule="auto"/>
              <w:jc w:val="center"/>
              <w:rPr>
                <w:rFonts w:ascii="Arial" w:eastAsia="Times New Roman" w:hAnsi="Arial" w:cs="Arial"/>
                <w:noProof/>
                <w:sz w:val="20"/>
                <w:szCs w:val="20"/>
              </w:rPr>
            </w:pPr>
            <w:r w:rsidRPr="000976EE">
              <w:rPr>
                <w:rFonts w:ascii="Arial" w:hAnsi="Arial" w:cs="Arial"/>
                <w:noProof/>
                <w:color w:val="6C6361"/>
              </w:rPr>
              <w:drawing>
                <wp:anchor distT="0" distB="0" distL="114300" distR="114300" simplePos="0" relativeHeight="251659264" behindDoc="0" locked="0" layoutInCell="1" allowOverlap="1" wp14:anchorId="01DC3DD1" wp14:editId="793C3DFC">
                  <wp:simplePos x="0" y="0"/>
                  <wp:positionH relativeFrom="column">
                    <wp:posOffset>3176270</wp:posOffset>
                  </wp:positionH>
                  <wp:positionV relativeFrom="paragraph">
                    <wp:posOffset>-55880</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722DC32" wp14:editId="2F66271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F4CC2" w:rsidRDefault="002F4CC2" w:rsidP="002F4CC2">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2F4CC2" w:rsidRPr="00D727FF" w:rsidTr="00D37E37">
        <w:trPr>
          <w:trHeight w:val="3293"/>
          <w:jc w:val="center"/>
        </w:trPr>
        <w:tc>
          <w:tcPr>
            <w:tcW w:w="1985" w:type="dxa"/>
            <w:shd w:val="clear" w:color="auto" w:fill="FFFFFF"/>
            <w:vAlign w:val="center"/>
          </w:tcPr>
          <w:p w:rsidR="002F4CC2" w:rsidRPr="00D727FF" w:rsidRDefault="002F4CC2" w:rsidP="00D37E37">
            <w:pPr>
              <w:spacing w:line="276" w:lineRule="auto"/>
              <w:jc w:val="center"/>
              <w:rPr>
                <w:rFonts w:ascii="Arial" w:hAnsi="Arial" w:cs="Arial"/>
                <w:sz w:val="24"/>
                <w:szCs w:val="24"/>
              </w:rPr>
            </w:pPr>
            <w:r w:rsidRPr="00D727FF">
              <w:rPr>
                <w:rFonts w:ascii="Arial" w:hAnsi="Arial" w:cs="Arial"/>
                <w:noProof/>
                <w:sz w:val="24"/>
                <w:szCs w:val="24"/>
              </w:rPr>
              <w:drawing>
                <wp:inline distT="0" distB="0" distL="0" distR="0" wp14:anchorId="7CF61DF4" wp14:editId="08E804DE">
                  <wp:extent cx="1082040" cy="1440180"/>
                  <wp:effectExtent l="19050" t="0" r="3810" b="0"/>
                  <wp:docPr id="8"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2F4CC2" w:rsidRPr="00D727FF" w:rsidRDefault="002F4CC2" w:rsidP="00D37E37">
            <w:pPr>
              <w:pStyle w:val="NormalWeb"/>
              <w:rPr>
                <w:rFonts w:ascii="Arial" w:hAnsi="Arial" w:cs="Arial"/>
                <w:color w:val="6C6361"/>
              </w:rPr>
            </w:pPr>
            <w:r w:rsidRPr="00D727FF">
              <w:rPr>
                <w:rFonts w:ascii="Arial" w:hAnsi="Arial" w:cs="Arial"/>
                <w:color w:val="6C6361"/>
              </w:rPr>
              <w:t xml:space="preserve">Mr. Egerton was admitted as a solicitor in England and Hong Kong in 1984 and ceased to be a </w:t>
            </w:r>
            <w:proofErr w:type="spellStart"/>
            <w:r w:rsidRPr="00D727FF">
              <w:rPr>
                <w:rFonts w:ascii="Arial" w:hAnsi="Arial" w:cs="Arial"/>
                <w:color w:val="6C6361"/>
              </w:rPr>
              <w:t>practising</w:t>
            </w:r>
            <w:proofErr w:type="spellEnd"/>
            <w:r w:rsidRPr="00D727FF">
              <w:rPr>
                <w:rFonts w:ascii="Arial" w:hAnsi="Arial" w:cs="Arial"/>
                <w:color w:val="6C6361"/>
              </w:rPr>
              <w:t xml:space="preserve"> solicitor in March 2004.  He has been an Ad Hoc Family Court Deputy District Judge and was a former member of the working groups on Family Mediation and Financial Dispute Resolution.  As a solicitor he was a panel member of the Solicitors Disciplinary Tribunal, the Joint Tribunal of the Bar and Law Society and the panel of Mentors.  He is a former Chairman of the Law Society Family Law Committee and Family Mediation Committee.  He is a fellow of the International Academy of Matrimonial Lawyers and an accredited Mediator.  He was called to the Hong Kong Bar in August 2004 and served on the Bar Council from March 2006 to 2011.  He was the former Chairman of the Hong Kong Family Law Association. </w:t>
            </w:r>
          </w:p>
        </w:tc>
      </w:tr>
    </w:tbl>
    <w:p w:rsidR="002F4CC2" w:rsidRPr="00CB5116" w:rsidRDefault="002F4CC2" w:rsidP="002F4CC2">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2F4CC2" w:rsidRPr="00D727FF" w:rsidTr="00D37E37">
        <w:trPr>
          <w:trHeight w:val="454"/>
          <w:jc w:val="center"/>
        </w:trPr>
        <w:tc>
          <w:tcPr>
            <w:tcW w:w="10773" w:type="dxa"/>
            <w:gridSpan w:val="2"/>
            <w:tcBorders>
              <w:top w:val="nil"/>
              <w:bottom w:val="nil"/>
            </w:tcBorders>
            <w:shd w:val="clear" w:color="auto" w:fill="F0EBE1"/>
            <w:vAlign w:val="center"/>
          </w:tcPr>
          <w:p w:rsidR="002F4CC2" w:rsidRPr="00D727FF" w:rsidRDefault="002F4CC2" w:rsidP="00D37E37">
            <w:pPr>
              <w:rPr>
                <w:rFonts w:ascii="Arial" w:hAnsi="Arial" w:cs="Arial"/>
                <w:b/>
                <w:color w:val="524B48"/>
                <w:sz w:val="24"/>
                <w:szCs w:val="24"/>
              </w:rPr>
            </w:pPr>
            <w:r w:rsidRPr="00D727FF">
              <w:rPr>
                <w:rFonts w:ascii="Arial" w:hAnsi="Arial" w:cs="Arial"/>
                <w:b/>
                <w:color w:val="524B48"/>
                <w:sz w:val="24"/>
                <w:szCs w:val="24"/>
              </w:rPr>
              <w:t>Contents</w:t>
            </w:r>
          </w:p>
        </w:tc>
      </w:tr>
      <w:tr w:rsidR="002F4CC2" w:rsidRPr="00D727FF" w:rsidTr="00D37E37">
        <w:trPr>
          <w:trHeight w:val="1904"/>
          <w:jc w:val="center"/>
        </w:trPr>
        <w:tc>
          <w:tcPr>
            <w:tcW w:w="9072" w:type="dxa"/>
            <w:tcBorders>
              <w:top w:val="nil"/>
              <w:bottom w:val="nil"/>
              <w:right w:val="nil"/>
            </w:tcBorders>
            <w:shd w:val="clear" w:color="auto" w:fill="FFFFFF"/>
            <w:vAlign w:val="center"/>
          </w:tcPr>
          <w:p w:rsidR="002F4CC2" w:rsidRPr="00D727FF" w:rsidRDefault="002F4CC2" w:rsidP="00D37E37">
            <w:pPr>
              <w:pStyle w:val="ListParagraph"/>
              <w:numPr>
                <w:ilvl w:val="0"/>
                <w:numId w:val="2"/>
              </w:numPr>
              <w:rPr>
                <w:rFonts w:ascii="Arial" w:hAnsi="Arial" w:cs="Arial"/>
                <w:color w:val="6C6361"/>
                <w:sz w:val="24"/>
                <w:szCs w:val="24"/>
              </w:rPr>
            </w:pPr>
            <w:r w:rsidRPr="00D727FF">
              <w:rPr>
                <w:rFonts w:ascii="Arial" w:hAnsi="Arial" w:cs="Arial"/>
                <w:color w:val="6C6361"/>
                <w:sz w:val="24"/>
                <w:szCs w:val="24"/>
              </w:rPr>
              <w:t>The current approach to Children</w:t>
            </w:r>
          </w:p>
          <w:p w:rsidR="002F4CC2" w:rsidRPr="00D727FF" w:rsidRDefault="002F4CC2" w:rsidP="00D37E37">
            <w:pPr>
              <w:pStyle w:val="ListParagraph"/>
              <w:numPr>
                <w:ilvl w:val="0"/>
                <w:numId w:val="2"/>
              </w:numPr>
              <w:rPr>
                <w:rFonts w:ascii="Arial" w:hAnsi="Arial" w:cs="Arial"/>
                <w:color w:val="6C6361"/>
                <w:sz w:val="24"/>
                <w:szCs w:val="24"/>
              </w:rPr>
            </w:pPr>
            <w:r w:rsidRPr="00D727FF">
              <w:rPr>
                <w:rFonts w:ascii="Arial" w:hAnsi="Arial" w:cs="Arial"/>
                <w:color w:val="6C6361"/>
                <w:sz w:val="24"/>
                <w:szCs w:val="24"/>
              </w:rPr>
              <w:t>Ancillary relief</w:t>
            </w:r>
          </w:p>
          <w:p w:rsidR="002F4CC2" w:rsidRPr="00D727FF" w:rsidRDefault="002F4CC2" w:rsidP="00D37E37">
            <w:pPr>
              <w:pStyle w:val="ListParagraph"/>
              <w:numPr>
                <w:ilvl w:val="1"/>
                <w:numId w:val="2"/>
              </w:numPr>
              <w:rPr>
                <w:rFonts w:ascii="Arial" w:hAnsi="Arial" w:cs="Arial"/>
                <w:color w:val="6C6361"/>
                <w:sz w:val="24"/>
                <w:szCs w:val="24"/>
              </w:rPr>
            </w:pPr>
            <w:r w:rsidRPr="00D727FF">
              <w:rPr>
                <w:rFonts w:ascii="Arial" w:hAnsi="Arial" w:cs="Arial"/>
                <w:color w:val="6C6361"/>
                <w:sz w:val="24"/>
                <w:szCs w:val="24"/>
              </w:rPr>
              <w:t>Costs allowance</w:t>
            </w:r>
          </w:p>
          <w:p w:rsidR="002F4CC2" w:rsidRPr="00D727FF" w:rsidRDefault="002F4CC2" w:rsidP="00D37E37">
            <w:pPr>
              <w:pStyle w:val="ListParagraph"/>
              <w:numPr>
                <w:ilvl w:val="1"/>
                <w:numId w:val="2"/>
              </w:numPr>
              <w:rPr>
                <w:rFonts w:ascii="Arial" w:hAnsi="Arial" w:cs="Arial"/>
                <w:color w:val="6C6361"/>
                <w:sz w:val="24"/>
                <w:szCs w:val="24"/>
              </w:rPr>
            </w:pPr>
            <w:r w:rsidRPr="00D727FF">
              <w:rPr>
                <w:rFonts w:ascii="Arial" w:hAnsi="Arial" w:cs="Arial"/>
                <w:color w:val="6C6361"/>
                <w:sz w:val="24"/>
                <w:szCs w:val="24"/>
              </w:rPr>
              <w:t>Prenuptial agreements</w:t>
            </w:r>
          </w:p>
          <w:p w:rsidR="002F4CC2" w:rsidRPr="00D727FF" w:rsidRDefault="002F4CC2" w:rsidP="00D37E37">
            <w:pPr>
              <w:pStyle w:val="ListParagraph"/>
              <w:numPr>
                <w:ilvl w:val="1"/>
                <w:numId w:val="2"/>
              </w:numPr>
              <w:rPr>
                <w:rFonts w:ascii="Arial" w:hAnsi="Arial" w:cs="Arial"/>
                <w:color w:val="6C6361"/>
                <w:sz w:val="24"/>
                <w:szCs w:val="24"/>
              </w:rPr>
            </w:pPr>
            <w:r w:rsidRPr="00D727FF">
              <w:rPr>
                <w:rFonts w:ascii="Arial" w:hAnsi="Arial" w:cs="Arial"/>
                <w:color w:val="6C6361"/>
                <w:sz w:val="24"/>
                <w:szCs w:val="24"/>
              </w:rPr>
              <w:t>Departure from equality</w:t>
            </w:r>
          </w:p>
          <w:p w:rsidR="002F4CC2" w:rsidRPr="00D727FF" w:rsidRDefault="002F4CC2" w:rsidP="00D37E37">
            <w:pPr>
              <w:pStyle w:val="ListParagraph"/>
              <w:numPr>
                <w:ilvl w:val="0"/>
                <w:numId w:val="2"/>
              </w:numPr>
              <w:rPr>
                <w:rFonts w:ascii="Arial" w:hAnsi="Arial" w:cs="Arial"/>
                <w:color w:val="6C6361"/>
                <w:sz w:val="24"/>
                <w:szCs w:val="24"/>
              </w:rPr>
            </w:pPr>
            <w:r w:rsidRPr="00D727FF">
              <w:rPr>
                <w:rFonts w:ascii="Arial" w:hAnsi="Arial" w:cs="Arial"/>
                <w:color w:val="6C6361"/>
                <w:sz w:val="24"/>
                <w:szCs w:val="24"/>
              </w:rPr>
              <w:t>How to settle a case and keep the client's confidence</w:t>
            </w:r>
          </w:p>
        </w:tc>
        <w:tc>
          <w:tcPr>
            <w:tcW w:w="1701" w:type="dxa"/>
            <w:tcBorders>
              <w:top w:val="nil"/>
              <w:left w:val="nil"/>
              <w:bottom w:val="nil"/>
            </w:tcBorders>
            <w:shd w:val="clear" w:color="auto" w:fill="FFFFFF"/>
            <w:vAlign w:val="center"/>
          </w:tcPr>
          <w:p w:rsidR="002F4CC2" w:rsidRPr="00D727FF" w:rsidRDefault="002F4CC2" w:rsidP="00D37E37">
            <w:pPr>
              <w:jc w:val="center"/>
              <w:rPr>
                <w:rFonts w:ascii="Arial" w:hAnsi="Arial" w:cs="Arial"/>
                <w:color w:val="6C6361"/>
                <w:sz w:val="24"/>
                <w:szCs w:val="24"/>
              </w:rPr>
            </w:pPr>
            <w:r w:rsidRPr="00D6504F">
              <w:rPr>
                <w:rFonts w:ascii="Arial" w:hAnsi="Arial" w:cs="Arial"/>
                <w:noProof/>
                <w:color w:val="6C6361"/>
                <w:sz w:val="24"/>
                <w:szCs w:val="24"/>
              </w:rPr>
              <w:drawing>
                <wp:inline distT="0" distB="0" distL="0" distR="0" wp14:anchorId="480F696D" wp14:editId="124C5DF5">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2F4CC2" w:rsidRPr="009E5465" w:rsidRDefault="002F4CC2" w:rsidP="002F4CC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2F4CC2" w:rsidRPr="00320F79" w:rsidTr="00D37E37">
        <w:trPr>
          <w:trHeight w:val="397"/>
          <w:jc w:val="center"/>
        </w:trPr>
        <w:tc>
          <w:tcPr>
            <w:tcW w:w="1701" w:type="dxa"/>
            <w:tcBorders>
              <w:top w:val="nil"/>
              <w:left w:val="nil"/>
              <w:bottom w:val="single" w:sz="12" w:space="0" w:color="FFFFFF"/>
            </w:tcBorders>
            <w:shd w:val="clear" w:color="auto" w:fill="F0EBE1"/>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EVT000000080</w:t>
            </w:r>
          </w:p>
        </w:tc>
        <w:tc>
          <w:tcPr>
            <w:tcW w:w="1701" w:type="dxa"/>
            <w:tcBorders>
              <w:top w:val="nil"/>
              <w:bottom w:val="single" w:sz="12" w:space="0" w:color="FFFFFF"/>
            </w:tcBorders>
            <w:shd w:val="clear" w:color="auto" w:fill="F0EBE1"/>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Update</w:t>
            </w:r>
          </w:p>
        </w:tc>
      </w:tr>
      <w:tr w:rsidR="002F4CC2" w:rsidRPr="00320F79" w:rsidTr="00D37E37">
        <w:trPr>
          <w:trHeight w:val="397"/>
          <w:jc w:val="center"/>
        </w:trPr>
        <w:tc>
          <w:tcPr>
            <w:tcW w:w="1701" w:type="dxa"/>
            <w:tcBorders>
              <w:top w:val="single" w:sz="12" w:space="0" w:color="FFFFFF"/>
              <w:left w:val="nil"/>
              <w:bottom w:val="single" w:sz="12" w:space="0" w:color="FFFFFF"/>
            </w:tcBorders>
            <w:shd w:val="clear" w:color="auto" w:fill="F0EBE1"/>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F4CC2"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29 October 2015 (Thursday)</w:t>
            </w:r>
          </w:p>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2F4CC2" w:rsidRPr="00320F79" w:rsidTr="00D37E37">
        <w:trPr>
          <w:trHeight w:val="397"/>
          <w:jc w:val="center"/>
        </w:trPr>
        <w:tc>
          <w:tcPr>
            <w:tcW w:w="1701" w:type="dxa"/>
            <w:tcBorders>
              <w:top w:val="single" w:sz="12" w:space="0" w:color="FFFFFF"/>
              <w:left w:val="nil"/>
              <w:bottom w:val="single" w:sz="12" w:space="0" w:color="FFFFFF"/>
            </w:tcBorders>
            <w:shd w:val="clear" w:color="auto" w:fill="F0EBE1"/>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2F4CC2"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p w:rsidR="002F4CC2" w:rsidRPr="00026967"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26967">
              <w:rPr>
                <w:rFonts w:ascii="Arial" w:hAnsi="Arial" w:cs="Arial"/>
                <w:color w:val="6C6361"/>
                <w:sz w:val="20"/>
                <w:szCs w:val="20"/>
              </w:rPr>
              <w:t>(LSHK Allocated Number: 20152364)</w:t>
            </w:r>
          </w:p>
        </w:tc>
      </w:tr>
      <w:tr w:rsidR="002F4CC2" w:rsidRPr="00320F79" w:rsidTr="00D37E37">
        <w:trPr>
          <w:trHeight w:val="1247"/>
          <w:jc w:val="center"/>
        </w:trPr>
        <w:tc>
          <w:tcPr>
            <w:tcW w:w="1701" w:type="dxa"/>
            <w:tcBorders>
              <w:top w:val="single" w:sz="12" w:space="0" w:color="FFFFFF"/>
              <w:left w:val="nil"/>
              <w:bottom w:val="nil"/>
            </w:tcBorders>
            <w:shd w:val="clear" w:color="auto" w:fill="F0EBE1"/>
            <w:vAlign w:val="center"/>
          </w:tcPr>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2F4CC2" w:rsidRPr="00320F79" w:rsidRDefault="002F4CC2" w:rsidP="00D37E37">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sidRPr="00320F79">
              <w:rPr>
                <w:rFonts w:ascii="Arial" w:hAnsi="Arial" w:cs="Arial"/>
                <w:b/>
                <w:color w:val="6C6361"/>
                <w:sz w:val="20"/>
                <w:szCs w:val="20"/>
              </w:rPr>
              <w:instrText xml:space="preserve"> HYPERLINK "http://goo.gl/maps/DKYQ1" </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2F4CC2" w:rsidRPr="00320F79"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CC2" w:rsidRDefault="002F4CC2" w:rsidP="00D37E37">
            <w:pPr>
              <w:jc w:val="right"/>
              <w:rPr>
                <w:rFonts w:ascii="Arial" w:hAnsi="Arial" w:cs="Arial"/>
                <w:b/>
                <w:color w:val="6C6361"/>
                <w:sz w:val="20"/>
                <w:szCs w:val="20"/>
              </w:rPr>
            </w:pPr>
          </w:p>
          <w:p w:rsidR="002F4CC2" w:rsidRDefault="002F4CC2" w:rsidP="00D37E37">
            <w:pPr>
              <w:jc w:val="right"/>
              <w:rPr>
                <w:rFonts w:ascii="Arial" w:hAnsi="Arial" w:cs="Arial"/>
                <w:b/>
                <w:color w:val="6C6361"/>
                <w:sz w:val="20"/>
                <w:szCs w:val="20"/>
              </w:rPr>
            </w:pPr>
          </w:p>
          <w:p w:rsidR="002F4CC2" w:rsidRPr="00320F79" w:rsidRDefault="002F4CC2" w:rsidP="00D37E37">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6BD2DF0" wp14:editId="729810EC">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CC2" w:rsidRPr="00E2201B" w:rsidRDefault="002F4CC2" w:rsidP="00D37E37">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2F4CC2" w:rsidRPr="001F18B3"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Request for</w:t>
            </w:r>
          </w:p>
          <w:p w:rsidR="002F4CC2" w:rsidRPr="001F18B3"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F18B3">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2F4CC2" w:rsidRPr="001F18B3"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 xml:space="preserve">Please </w:t>
            </w:r>
            <w:hyperlink r:id="rId16" w:history="1">
              <w:r w:rsidRPr="001F18B3">
                <w:rPr>
                  <w:rStyle w:val="Hyperlink"/>
                  <w:rFonts w:ascii="Arial" w:eastAsia="Times New Roman" w:hAnsi="Arial" w:cs="Arial"/>
                  <w:b/>
                  <w:noProof/>
                  <w:color w:val="6C6361"/>
                  <w:sz w:val="20"/>
                  <w:szCs w:val="20"/>
                  <w:u w:val="none"/>
                </w:rPr>
                <w:t>Contact Us</w:t>
              </w:r>
            </w:hyperlink>
          </w:p>
          <w:p w:rsidR="002F4CC2" w:rsidRPr="001F18B3"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1F18B3">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2F4CC2" w:rsidRPr="00156567" w:rsidRDefault="002F4CC2" w:rsidP="00D3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ECE2B8A" wp14:editId="5669261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F4CC2" w:rsidRDefault="00214BC6" w:rsidP="002F4CC2"/>
    <w:sectPr w:rsidR="00214BC6" w:rsidRPr="002F4CC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225" w:rsidRDefault="00C57225" w:rsidP="00546556">
      <w:r>
        <w:separator/>
      </w:r>
    </w:p>
  </w:endnote>
  <w:endnote w:type="continuationSeparator" w:id="0">
    <w:p w:rsidR="00C57225" w:rsidRDefault="00C5722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225" w:rsidRDefault="00C57225" w:rsidP="00546556">
      <w:r>
        <w:separator/>
      </w:r>
    </w:p>
  </w:footnote>
  <w:footnote w:type="continuationSeparator" w:id="0">
    <w:p w:rsidR="00C57225" w:rsidRDefault="00C5722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3865FC9"/>
    <w:multiLevelType w:val="multilevel"/>
    <w:tmpl w:val="E312D40E"/>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1"/>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XEbv6tNogh7X9KVe8bhbTyYnsJzvHU3ToSz/FDC7+H9JBFvLT3h9Nkh0SOXExWUp3E7oRgasr9nZSJfR18F9Nw==" w:salt="zQNzJk3X020Bbeq+gNmTi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6792"/>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CC2"/>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5528"/>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5EF0"/>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598"/>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393D"/>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1645"/>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15B9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8D4"/>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225"/>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87B58"/>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A7EFA"/>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63E"/>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49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8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CF1D9-5CEE-4BE5-9F26-5DE1ACE2C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CPD Course: Occupier's Liability, Medical Reports &amp; Damages</vt:lpstr>
    </vt:vector>
  </TitlesOfParts>
  <Manager>Tyrone Tsang</Manager>
  <Company>The Profectional Company Limited</Company>
  <LinksUpToDate>false</LinksUpToDate>
  <CharactersWithSpaces>1688</CharactersWithSpaces>
  <SharedDoc>false</SharedDoc>
  <HyperlinkBase>http://download.profectional.com/events/EVT000000080.docx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Ancillary Relief and Recent Changes to Matrimonial Law</dc:title>
  <dc:subject>CPD Course: Ancillary Relief and Recent Changes to Matrimonial Law</dc:subject>
  <dc:creator>The Profectional Company Limited</dc:creator>
  <cp:keywords>Profectional; Kornerstone; CPD; CPT; CLE; CE; RME; Robin Egerton; Barrister-at-Law; Parkside Chambers</cp:keywords>
  <cp:lastModifiedBy>Tyrone Tsang</cp:lastModifiedBy>
  <cp:revision>8</cp:revision>
  <cp:lastPrinted>2015-10-29T01:48:00Z</cp:lastPrinted>
  <dcterms:created xsi:type="dcterms:W3CDTF">2015-03-14T15:51:00Z</dcterms:created>
  <dcterms:modified xsi:type="dcterms:W3CDTF">2015-10-29T01:48:00Z</dcterms:modified>
</cp:coreProperties>
</file>