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4023" w:rsidRPr="00074023" w:rsidRDefault="00074023" w:rsidP="00074023">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074023" w:rsidRPr="00523A64" w:rsidTr="00FE6538">
        <w:trPr>
          <w:trHeight w:val="3119"/>
          <w:jc w:val="center"/>
        </w:trPr>
        <w:tc>
          <w:tcPr>
            <w:tcW w:w="4820" w:type="dxa"/>
            <w:shd w:val="clear" w:color="auto" w:fill="FFFFFF"/>
            <w:vAlign w:val="center"/>
          </w:tcPr>
          <w:p w:rsidR="00074023" w:rsidRPr="001A3018" w:rsidRDefault="00074023" w:rsidP="00FE6538">
            <w:pPr>
              <w:jc w:val="center"/>
              <w:rPr>
                <w:rFonts w:ascii="Arial" w:hAnsi="Arial" w:cs="Arial"/>
                <w:b/>
                <w:bCs/>
                <w:color w:val="524B48"/>
                <w:sz w:val="4"/>
                <w:szCs w:val="4"/>
              </w:rPr>
            </w:pPr>
          </w:p>
          <w:p w:rsidR="00074023" w:rsidRPr="00426696" w:rsidRDefault="00074023" w:rsidP="00FE6538">
            <w:pPr>
              <w:jc w:val="center"/>
              <w:rPr>
                <w:rStyle w:val="Hyperlink"/>
                <w:rFonts w:ascii="Arial" w:hAnsi="Arial" w:cs="Arial"/>
                <w:b/>
                <w:bCs/>
                <w:color w:val="524B48"/>
                <w:sz w:val="32"/>
                <w:szCs w:val="32"/>
                <w:u w:val="none"/>
              </w:rPr>
            </w:pPr>
            <w:r w:rsidRPr="00CF685C">
              <w:fldChar w:fldCharType="begin"/>
            </w:r>
            <w:r>
              <w:instrText>HYPERLINK "http://cpd.hk/evt000000065/"</w:instrText>
            </w:r>
            <w:r w:rsidRPr="00CF685C">
              <w:fldChar w:fldCharType="separate"/>
            </w:r>
            <w:r w:rsidRPr="00426696">
              <w:rPr>
                <w:rStyle w:val="Hyperlink"/>
                <w:rFonts w:ascii="Arial" w:hAnsi="Arial" w:cs="Arial"/>
                <w:b/>
                <w:bCs/>
                <w:color w:val="524B48"/>
                <w:sz w:val="32"/>
                <w:szCs w:val="32"/>
                <w:u w:val="none"/>
              </w:rPr>
              <w:t>Anti-Money Laundering</w:t>
            </w:r>
          </w:p>
          <w:p w:rsidR="00074023" w:rsidRPr="00426696" w:rsidRDefault="00074023" w:rsidP="00FE6538">
            <w:pPr>
              <w:jc w:val="center"/>
              <w:rPr>
                <w:rStyle w:val="Hyperlink"/>
                <w:rFonts w:ascii="Arial" w:hAnsi="Arial" w:cs="Arial"/>
                <w:b/>
                <w:bCs/>
                <w:color w:val="524B48"/>
                <w:sz w:val="32"/>
                <w:szCs w:val="32"/>
                <w:u w:val="none"/>
              </w:rPr>
            </w:pPr>
            <w:r w:rsidRPr="00426696">
              <w:rPr>
                <w:rStyle w:val="Hyperlink"/>
                <w:rFonts w:ascii="Arial" w:hAnsi="Arial" w:cs="Arial"/>
                <w:b/>
                <w:bCs/>
                <w:color w:val="524B48"/>
                <w:sz w:val="32"/>
                <w:szCs w:val="32"/>
                <w:u w:val="none"/>
              </w:rPr>
              <w:t>Essentials for</w:t>
            </w:r>
          </w:p>
          <w:p w:rsidR="00074023" w:rsidRPr="00426696" w:rsidRDefault="00074023" w:rsidP="00FE6538">
            <w:pPr>
              <w:jc w:val="center"/>
              <w:rPr>
                <w:rStyle w:val="Hyperlink"/>
                <w:rFonts w:ascii="Arial" w:hAnsi="Arial" w:cs="Arial"/>
                <w:b/>
                <w:bCs/>
                <w:color w:val="524B48"/>
                <w:sz w:val="32"/>
                <w:szCs w:val="32"/>
                <w:u w:val="none"/>
              </w:rPr>
            </w:pPr>
            <w:r w:rsidRPr="00426696">
              <w:rPr>
                <w:rStyle w:val="Hyperlink"/>
                <w:rFonts w:ascii="Arial" w:hAnsi="Arial" w:cs="Arial"/>
                <w:b/>
                <w:bCs/>
                <w:color w:val="524B48"/>
                <w:sz w:val="32"/>
                <w:szCs w:val="32"/>
                <w:u w:val="none"/>
              </w:rPr>
              <w:t>Financial Institutions</w:t>
            </w:r>
          </w:p>
          <w:p w:rsidR="00074023" w:rsidRPr="00426696" w:rsidRDefault="00074023" w:rsidP="00FE6538">
            <w:pPr>
              <w:jc w:val="center"/>
              <w:rPr>
                <w:rStyle w:val="Hyperlink"/>
                <w:rFonts w:ascii="Arial" w:hAnsi="Arial" w:cs="Arial"/>
                <w:b/>
                <w:bCs/>
                <w:color w:val="524B48"/>
                <w:sz w:val="32"/>
                <w:szCs w:val="32"/>
                <w:u w:val="none"/>
              </w:rPr>
            </w:pPr>
            <w:r w:rsidRPr="00426696">
              <w:rPr>
                <w:rStyle w:val="Hyperlink"/>
                <w:rFonts w:ascii="Arial" w:hAnsi="Arial" w:cs="Arial"/>
                <w:b/>
                <w:bCs/>
                <w:color w:val="524B48"/>
                <w:sz w:val="32"/>
                <w:szCs w:val="32"/>
                <w:u w:val="none"/>
              </w:rPr>
              <w:t>and</w:t>
            </w:r>
          </w:p>
          <w:p w:rsidR="00074023" w:rsidRPr="00CF685C" w:rsidRDefault="00074023" w:rsidP="00FE6538">
            <w:pPr>
              <w:jc w:val="center"/>
              <w:rPr>
                <w:rStyle w:val="Hyperlink"/>
                <w:rFonts w:ascii="Arial" w:hAnsi="Arial" w:cs="Arial"/>
                <w:b/>
                <w:bCs/>
                <w:color w:val="524B48"/>
                <w:sz w:val="32"/>
                <w:szCs w:val="32"/>
                <w:u w:val="none"/>
              </w:rPr>
            </w:pPr>
            <w:r w:rsidRPr="00426696">
              <w:rPr>
                <w:rStyle w:val="Hyperlink"/>
                <w:rFonts w:ascii="Arial" w:hAnsi="Arial" w:cs="Arial"/>
                <w:b/>
                <w:bCs/>
                <w:color w:val="524B48"/>
                <w:sz w:val="32"/>
                <w:szCs w:val="32"/>
                <w:u w:val="none"/>
              </w:rPr>
              <w:t>Licensed Corporations</w:t>
            </w:r>
          </w:p>
          <w:p w:rsidR="00074023" w:rsidRPr="00C65AFD" w:rsidRDefault="00074023" w:rsidP="00FE6538">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rsidR="00074023" w:rsidRPr="00C65AFD" w:rsidRDefault="00074023" w:rsidP="00FE6538">
            <w:pPr>
              <w:jc w:val="center"/>
              <w:rPr>
                <w:rFonts w:ascii="Arial" w:hAnsi="Arial" w:cs="Arial"/>
                <w:i/>
                <w:color w:val="6C6361"/>
                <w:sz w:val="24"/>
                <w:szCs w:val="24"/>
              </w:rPr>
            </w:pPr>
            <w:r w:rsidRPr="00C65AFD">
              <w:rPr>
                <w:rFonts w:ascii="Arial" w:hAnsi="Arial" w:cs="Arial"/>
                <w:i/>
                <w:color w:val="6C6361"/>
                <w:sz w:val="24"/>
                <w:szCs w:val="24"/>
              </w:rPr>
              <w:t>by</w:t>
            </w:r>
          </w:p>
          <w:p w:rsidR="00074023" w:rsidRDefault="00150DA1" w:rsidP="00FE6538">
            <w:pPr>
              <w:jc w:val="center"/>
              <w:rPr>
                <w:rFonts w:ascii="Arial" w:hAnsi="Arial" w:cs="Arial"/>
                <w:color w:val="6C6361"/>
                <w:sz w:val="24"/>
                <w:szCs w:val="24"/>
              </w:rPr>
            </w:pPr>
            <w:hyperlink r:id="rId8" w:history="1">
              <w:r w:rsidR="00074023" w:rsidRPr="001516F2">
                <w:rPr>
                  <w:rStyle w:val="Hyperlink"/>
                  <w:rFonts w:ascii="Arial" w:hAnsi="Arial" w:cs="Arial"/>
                  <w:color w:val="6C6361"/>
                  <w:sz w:val="24"/>
                  <w:szCs w:val="24"/>
                  <w:u w:val="none"/>
                </w:rPr>
                <w:t xml:space="preserve">Mr. </w:t>
              </w:r>
              <w:r w:rsidR="00074023">
                <w:rPr>
                  <w:rStyle w:val="Hyperlink"/>
                  <w:rFonts w:ascii="Arial" w:hAnsi="Arial" w:cs="Arial"/>
                  <w:color w:val="6C6361"/>
                  <w:sz w:val="24"/>
                  <w:szCs w:val="24"/>
                  <w:u w:val="none"/>
                </w:rPr>
                <w:t>Gavin Shiu</w:t>
              </w:r>
            </w:hyperlink>
            <w:r w:rsidR="00074023">
              <w:rPr>
                <w:rFonts w:ascii="Arial" w:hAnsi="Arial" w:cs="Arial"/>
                <w:color w:val="6C6361"/>
                <w:sz w:val="24"/>
                <w:szCs w:val="24"/>
              </w:rPr>
              <w:t>,</w:t>
            </w:r>
          </w:p>
          <w:p w:rsidR="00074023" w:rsidRDefault="00074023" w:rsidP="00FE6538">
            <w:pPr>
              <w:jc w:val="center"/>
              <w:rPr>
                <w:rFonts w:ascii="Arial" w:hAnsi="Arial" w:cs="Arial"/>
                <w:color w:val="6C6361"/>
                <w:sz w:val="24"/>
                <w:szCs w:val="24"/>
              </w:rPr>
            </w:pPr>
            <w:r>
              <w:rPr>
                <w:rFonts w:ascii="Arial" w:hAnsi="Arial" w:cs="Arial"/>
                <w:color w:val="6C6361"/>
                <w:sz w:val="24"/>
                <w:szCs w:val="24"/>
              </w:rPr>
              <w:t>Senior Assistant Director</w:t>
            </w:r>
          </w:p>
          <w:p w:rsidR="00074023" w:rsidRDefault="00074023" w:rsidP="00FE6538">
            <w:pPr>
              <w:jc w:val="center"/>
              <w:rPr>
                <w:rFonts w:ascii="Arial" w:hAnsi="Arial" w:cs="Arial"/>
                <w:color w:val="6C6361"/>
                <w:sz w:val="24"/>
                <w:szCs w:val="24"/>
              </w:rPr>
            </w:pPr>
            <w:r>
              <w:rPr>
                <w:rFonts w:ascii="Arial" w:hAnsi="Arial" w:cs="Arial"/>
                <w:color w:val="6C6361"/>
                <w:sz w:val="24"/>
                <w:szCs w:val="24"/>
              </w:rPr>
              <w:t>of Public Prosecutions,</w:t>
            </w:r>
          </w:p>
          <w:p w:rsidR="00074023" w:rsidRPr="00063609" w:rsidRDefault="00074023" w:rsidP="00FE6538">
            <w:pPr>
              <w:jc w:val="center"/>
              <w:rPr>
                <w:rFonts w:ascii="Arial" w:hAnsi="Arial" w:cs="Arial"/>
                <w:color w:val="6C6361"/>
                <w:sz w:val="24"/>
                <w:szCs w:val="24"/>
              </w:rPr>
            </w:pPr>
            <w:r w:rsidRPr="00063609">
              <w:rPr>
                <w:rFonts w:ascii="Arial" w:hAnsi="Arial" w:cs="Arial"/>
                <w:color w:val="6C6361"/>
                <w:sz w:val="24"/>
                <w:szCs w:val="24"/>
              </w:rPr>
              <w:t>Hong Kong Department of Justice</w:t>
            </w:r>
          </w:p>
          <w:p w:rsidR="00074023" w:rsidRDefault="00074023" w:rsidP="00FE6538">
            <w:pPr>
              <w:jc w:val="center"/>
              <w:rPr>
                <w:rFonts w:ascii="Arial" w:hAnsi="Arial" w:cs="Arial"/>
                <w:color w:val="6C6361"/>
                <w:sz w:val="8"/>
                <w:szCs w:val="8"/>
              </w:rPr>
            </w:pPr>
            <w:r w:rsidRPr="00063609">
              <w:rPr>
                <w:rFonts w:ascii="Arial" w:hAnsi="Arial" w:cs="Arial"/>
                <w:color w:val="6C6361"/>
                <w:sz w:val="24"/>
                <w:szCs w:val="24"/>
              </w:rPr>
              <w:t>Commercial Crime Specialist</w:t>
            </w:r>
          </w:p>
          <w:p w:rsidR="00074023" w:rsidRPr="00D87ECF" w:rsidRDefault="00074023" w:rsidP="00FE6538">
            <w:pPr>
              <w:jc w:val="center"/>
              <w:rPr>
                <w:rFonts w:ascii="Arial" w:hAnsi="Arial" w:cs="Arial"/>
                <w:color w:val="6C6361"/>
                <w:sz w:val="8"/>
                <w:szCs w:val="8"/>
              </w:rPr>
            </w:pPr>
          </w:p>
        </w:tc>
        <w:tc>
          <w:tcPr>
            <w:tcW w:w="5954" w:type="dxa"/>
            <w:shd w:val="clear" w:color="auto" w:fill="FFFFFF"/>
            <w:vAlign w:val="center"/>
          </w:tcPr>
          <w:p w:rsidR="00074023" w:rsidRPr="00D50772" w:rsidRDefault="00074023" w:rsidP="00FE6538">
            <w:pPr>
              <w:spacing w:line="276" w:lineRule="auto"/>
              <w:jc w:val="center"/>
              <w:rPr>
                <w:rFonts w:ascii="Arial" w:eastAsia="Times New Roman" w:hAnsi="Arial" w:cs="Arial"/>
                <w:noProof/>
                <w:sz w:val="20"/>
                <w:szCs w:val="20"/>
              </w:rPr>
            </w:pPr>
            <w:r w:rsidRPr="00FA0D85">
              <w:rPr>
                <w:rFonts w:ascii="Arial" w:hAnsi="Arial" w:cs="Arial"/>
                <w:i/>
                <w:noProof/>
                <w:color w:val="6C6361"/>
                <w:sz w:val="20"/>
                <w:szCs w:val="20"/>
              </w:rPr>
              <w:drawing>
                <wp:anchor distT="0" distB="0" distL="114300" distR="114300" simplePos="0" relativeHeight="251659264" behindDoc="0" locked="0" layoutInCell="1" allowOverlap="1" wp14:anchorId="688A0EFE" wp14:editId="136E07E8">
                  <wp:simplePos x="0" y="0"/>
                  <wp:positionH relativeFrom="column">
                    <wp:posOffset>3176270</wp:posOffset>
                  </wp:positionH>
                  <wp:positionV relativeFrom="paragraph">
                    <wp:posOffset>-306070</wp:posOffset>
                  </wp:positionV>
                  <wp:extent cx="539750" cy="546735"/>
                  <wp:effectExtent l="0" t="0" r="0" b="5715"/>
                  <wp:wrapNone/>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7F321CC1" wp14:editId="40861146">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074023" w:rsidRDefault="00074023" w:rsidP="00074023">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074023" w:rsidRPr="00B745DB" w:rsidTr="00FE6538">
        <w:trPr>
          <w:trHeight w:val="5630"/>
          <w:jc w:val="center"/>
        </w:trPr>
        <w:tc>
          <w:tcPr>
            <w:tcW w:w="1985" w:type="dxa"/>
            <w:shd w:val="clear" w:color="auto" w:fill="FFFFFF"/>
            <w:vAlign w:val="center"/>
          </w:tcPr>
          <w:p w:rsidR="00074023" w:rsidRPr="00B745DB" w:rsidRDefault="00074023" w:rsidP="00FE6538">
            <w:pPr>
              <w:spacing w:line="276" w:lineRule="auto"/>
              <w:jc w:val="center"/>
              <w:rPr>
                <w:rFonts w:ascii="Arial" w:hAnsi="Arial" w:cs="Arial"/>
                <w:sz w:val="24"/>
                <w:szCs w:val="24"/>
              </w:rPr>
            </w:pPr>
            <w:r w:rsidRPr="00B745DB">
              <w:rPr>
                <w:rFonts w:ascii="Arial" w:hAnsi="Arial" w:cs="Arial"/>
                <w:noProof/>
                <w:sz w:val="24"/>
                <w:szCs w:val="24"/>
              </w:rPr>
              <w:drawing>
                <wp:inline distT="0" distB="0" distL="0" distR="0" wp14:anchorId="72517954" wp14:editId="3AA86F9F">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074023" w:rsidRPr="00390282" w:rsidRDefault="00074023" w:rsidP="00074023">
            <w:pPr>
              <w:pStyle w:val="NormalWeb"/>
              <w:numPr>
                <w:ilvl w:val="0"/>
                <w:numId w:val="16"/>
              </w:numPr>
              <w:spacing w:before="0" w:beforeAutospacing="0" w:after="0" w:afterAutospacing="0"/>
              <w:ind w:left="317" w:hanging="283"/>
              <w:jc w:val="both"/>
              <w:rPr>
                <w:rFonts w:ascii="Arial" w:hAnsi="Arial" w:cs="Arial"/>
                <w:color w:val="6C6361"/>
              </w:rPr>
            </w:pPr>
            <w:r w:rsidRPr="00390282">
              <w:rPr>
                <w:rFonts w:ascii="Arial" w:hAnsi="Arial" w:cs="Arial"/>
                <w:color w:val="6C6361"/>
              </w:rPr>
              <w:t>Over twenty years of experience with particular focus on commercial crime and corruption.</w:t>
            </w:r>
          </w:p>
          <w:p w:rsidR="00074023" w:rsidRPr="00390282" w:rsidRDefault="00074023" w:rsidP="00074023">
            <w:pPr>
              <w:pStyle w:val="NormalWeb"/>
              <w:numPr>
                <w:ilvl w:val="0"/>
                <w:numId w:val="16"/>
              </w:numPr>
              <w:spacing w:before="0" w:beforeAutospacing="0" w:after="0" w:afterAutospacing="0"/>
              <w:ind w:left="317" w:hanging="283"/>
              <w:jc w:val="both"/>
              <w:rPr>
                <w:rFonts w:ascii="Arial" w:hAnsi="Arial" w:cs="Arial"/>
                <w:color w:val="6C6361"/>
              </w:rPr>
            </w:pPr>
            <w:r w:rsidRPr="00390282">
              <w:rPr>
                <w:rFonts w:ascii="Arial" w:hAnsi="Arial" w:cs="Arial"/>
                <w:color w:val="6C6361"/>
              </w:rPr>
              <w:t>Prosecutor having experience of serious transnational crime.</w:t>
            </w:r>
          </w:p>
          <w:p w:rsidR="00074023" w:rsidRPr="00390282" w:rsidRDefault="00074023" w:rsidP="00074023">
            <w:pPr>
              <w:pStyle w:val="NormalWeb"/>
              <w:numPr>
                <w:ilvl w:val="0"/>
                <w:numId w:val="16"/>
              </w:numPr>
              <w:spacing w:before="0" w:beforeAutospacing="0" w:after="0" w:afterAutospacing="0"/>
              <w:ind w:left="317" w:hanging="283"/>
              <w:jc w:val="both"/>
              <w:rPr>
                <w:rFonts w:ascii="Arial" w:hAnsi="Arial" w:cs="Arial"/>
                <w:color w:val="6C6361"/>
              </w:rPr>
            </w:pPr>
            <w:r w:rsidRPr="00390282">
              <w:rPr>
                <w:rFonts w:ascii="Arial" w:hAnsi="Arial" w:cs="Arial"/>
                <w:color w:val="6C6361"/>
              </w:rPr>
              <w:t>In depth work interaction with government departments and regulatory bodies Hong Kong Police; Independent Commission Against Corruption; Customs and Excise; Financial Services and Treasury Bureau; Securities and Futures Commission; Hong Kong Monetary Authority and the Office of the Insurance Commissioner.</w:t>
            </w:r>
          </w:p>
          <w:p w:rsidR="00074023" w:rsidRPr="00390282" w:rsidRDefault="00074023" w:rsidP="00074023">
            <w:pPr>
              <w:pStyle w:val="NormalWeb"/>
              <w:numPr>
                <w:ilvl w:val="0"/>
                <w:numId w:val="16"/>
              </w:numPr>
              <w:spacing w:before="0" w:beforeAutospacing="0" w:after="0" w:afterAutospacing="0"/>
              <w:ind w:left="317" w:hanging="283"/>
              <w:jc w:val="both"/>
              <w:rPr>
                <w:rFonts w:ascii="Arial" w:hAnsi="Arial" w:cs="Arial"/>
                <w:color w:val="6C6361"/>
              </w:rPr>
            </w:pPr>
            <w:r w:rsidRPr="00390282">
              <w:rPr>
                <w:rFonts w:ascii="Arial" w:hAnsi="Arial" w:cs="Arial"/>
                <w:color w:val="6C6361"/>
              </w:rPr>
              <w:t>Advising on the evidence needed and investigatory approaches for complicated and involved frauds and money laundering cases.</w:t>
            </w:r>
          </w:p>
          <w:p w:rsidR="00074023" w:rsidRPr="00390282" w:rsidRDefault="00074023" w:rsidP="00074023">
            <w:pPr>
              <w:pStyle w:val="NormalWeb"/>
              <w:numPr>
                <w:ilvl w:val="0"/>
                <w:numId w:val="16"/>
              </w:numPr>
              <w:spacing w:before="0" w:beforeAutospacing="0" w:after="0" w:afterAutospacing="0"/>
              <w:ind w:left="317" w:hanging="283"/>
              <w:jc w:val="both"/>
              <w:rPr>
                <w:rFonts w:ascii="Arial" w:hAnsi="Arial" w:cs="Arial"/>
                <w:color w:val="6C6361"/>
              </w:rPr>
            </w:pPr>
            <w:r w:rsidRPr="00390282">
              <w:rPr>
                <w:rFonts w:ascii="Arial" w:hAnsi="Arial" w:cs="Arial"/>
                <w:color w:val="6C6361"/>
              </w:rPr>
              <w:t>Gavin was the legal evaluator representing Hong Kong for the joint mutual evaluation of South Korea in 2009 conducted by the Financial Action Task Force (FATF) and the Asia Pacific Group (APG).</w:t>
            </w:r>
          </w:p>
          <w:p w:rsidR="00074023" w:rsidRDefault="00074023" w:rsidP="00074023">
            <w:pPr>
              <w:pStyle w:val="NormalWeb"/>
              <w:numPr>
                <w:ilvl w:val="0"/>
                <w:numId w:val="16"/>
              </w:numPr>
              <w:spacing w:before="0" w:beforeAutospacing="0" w:after="0" w:afterAutospacing="0"/>
              <w:ind w:left="317" w:hanging="283"/>
              <w:jc w:val="both"/>
              <w:rPr>
                <w:rFonts w:ascii="Arial" w:hAnsi="Arial" w:cs="Arial"/>
                <w:color w:val="6C6361"/>
              </w:rPr>
            </w:pPr>
            <w:r w:rsidRPr="00390282">
              <w:rPr>
                <w:rFonts w:ascii="Arial" w:hAnsi="Arial" w:cs="Arial"/>
                <w:color w:val="6C6361"/>
              </w:rPr>
              <w:t>These evaluations were to assess the respective jurisdictions' compliance with the 40 plus 9 Recommendations of FATF in respect of AML and CFT and provide comprehensive reports on same by the evaluation team.</w:t>
            </w:r>
          </w:p>
          <w:p w:rsidR="00074023" w:rsidRPr="00C46BEE" w:rsidRDefault="00074023" w:rsidP="00074023">
            <w:pPr>
              <w:pStyle w:val="NormalWeb"/>
              <w:numPr>
                <w:ilvl w:val="0"/>
                <w:numId w:val="16"/>
              </w:numPr>
              <w:spacing w:before="0" w:beforeAutospacing="0" w:after="0" w:afterAutospacing="0"/>
              <w:ind w:left="317" w:hanging="283"/>
              <w:jc w:val="both"/>
              <w:rPr>
                <w:rFonts w:ascii="Arial" w:hAnsi="Arial" w:cs="Arial"/>
                <w:color w:val="6C6361"/>
              </w:rPr>
            </w:pPr>
            <w:r w:rsidRPr="00C46BEE">
              <w:rPr>
                <w:rFonts w:ascii="Arial" w:hAnsi="Arial" w:cs="Arial"/>
                <w:color w:val="6C6361"/>
              </w:rPr>
              <w:t>Recent head of the HKSAR's Justice Dept's asset recovery unit responsible for confiscations and restraints of criminal assets and so closely associated with anti-money laundering advice and policy.</w:t>
            </w:r>
          </w:p>
        </w:tc>
      </w:tr>
    </w:tbl>
    <w:p w:rsidR="00074023" w:rsidRPr="00CB5116" w:rsidRDefault="00074023" w:rsidP="00074023">
      <w:pPr>
        <w:spacing w:line="276" w:lineRule="auto"/>
        <w:jc w:val="left"/>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10773"/>
      </w:tblGrid>
      <w:tr w:rsidR="00074023" w:rsidRPr="00390282" w:rsidTr="00FE6538">
        <w:trPr>
          <w:trHeight w:val="2858"/>
          <w:jc w:val="center"/>
        </w:trPr>
        <w:tc>
          <w:tcPr>
            <w:tcW w:w="10773" w:type="dxa"/>
            <w:tcBorders>
              <w:top w:val="nil"/>
              <w:bottom w:val="nil"/>
            </w:tcBorders>
            <w:shd w:val="clear" w:color="auto" w:fill="FFFFFF" w:themeFill="background1"/>
            <w:vAlign w:val="center"/>
          </w:tcPr>
          <w:p w:rsidR="00074023" w:rsidRPr="00390282" w:rsidRDefault="00074023" w:rsidP="00FE6538">
            <w:pPr>
              <w:rPr>
                <w:rFonts w:ascii="Arial" w:hAnsi="Arial" w:cs="Arial"/>
                <w:color w:val="6C6361"/>
                <w:sz w:val="24"/>
                <w:szCs w:val="24"/>
              </w:rPr>
            </w:pPr>
            <w:r w:rsidRPr="00390282">
              <w:rPr>
                <w:rFonts w:ascii="Arial" w:hAnsi="Arial" w:cs="Arial"/>
                <w:color w:val="6C6361"/>
                <w:sz w:val="24"/>
                <w:szCs w:val="24"/>
              </w:rPr>
              <w:t>More than ever, financial institutions throughout the globe sit in the crosshairs of regulators seeking to enforce anti-money laundering (“AML”) and terrorist financing laws.  With the potential of investigations in one country leading to a chain reaction in other countries, possible fines of billions of US dollars and individual liability, understanding and mitigating the risk of money laundering is essential.</w:t>
            </w:r>
          </w:p>
          <w:p w:rsidR="00074023" w:rsidRPr="00390282" w:rsidRDefault="00074023" w:rsidP="00FE6538">
            <w:pPr>
              <w:rPr>
                <w:rFonts w:ascii="Arial" w:hAnsi="Arial" w:cs="Arial"/>
                <w:color w:val="6C6361"/>
                <w:sz w:val="24"/>
                <w:szCs w:val="24"/>
              </w:rPr>
            </w:pPr>
          </w:p>
          <w:p w:rsidR="00074023" w:rsidRPr="00390282" w:rsidRDefault="00074023" w:rsidP="00FE6538">
            <w:pPr>
              <w:rPr>
                <w:rFonts w:ascii="Arial" w:hAnsi="Arial" w:cs="Arial"/>
                <w:color w:val="6C6361"/>
                <w:sz w:val="24"/>
                <w:szCs w:val="24"/>
              </w:rPr>
            </w:pPr>
            <w:r w:rsidRPr="00390282">
              <w:rPr>
                <w:rFonts w:ascii="Arial" w:hAnsi="Arial" w:cs="Arial"/>
                <w:color w:val="6C6361"/>
                <w:sz w:val="24"/>
                <w:szCs w:val="24"/>
              </w:rPr>
              <w:t>In this seminar, Gavin Shiu of Hong Kong Department of Justice/Commercial Crime Specialist will explain the key provisions and implications of AML and terrorist financing laws in Hong Kong, AML risks, warning signs and risk mitigation.</w:t>
            </w:r>
          </w:p>
        </w:tc>
      </w:tr>
    </w:tbl>
    <w:p w:rsidR="00074023" w:rsidRDefault="00074023" w:rsidP="00074023">
      <w:pPr>
        <w:spacing w:line="276" w:lineRule="auto"/>
        <w:rPr>
          <w:rFonts w:ascii="Arial" w:hAnsi="Arial" w:cs="Arial"/>
          <w:sz w:val="20"/>
          <w:szCs w:val="20"/>
        </w:rPr>
      </w:pPr>
    </w:p>
    <w:p w:rsidR="00074023" w:rsidRDefault="00074023" w:rsidP="00074023">
      <w:pPr>
        <w:spacing w:line="276" w:lineRule="auto"/>
        <w:rPr>
          <w:rFonts w:ascii="Arial" w:hAnsi="Arial" w:cs="Arial"/>
          <w:sz w:val="20"/>
          <w:szCs w:val="20"/>
        </w:rPr>
      </w:pPr>
    </w:p>
    <w:p w:rsidR="00074023" w:rsidRDefault="00074023" w:rsidP="00074023">
      <w:pPr>
        <w:spacing w:line="276" w:lineRule="auto"/>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9049"/>
        <w:gridCol w:w="1724"/>
      </w:tblGrid>
      <w:tr w:rsidR="00074023" w:rsidRPr="00390282" w:rsidTr="00FE6538">
        <w:trPr>
          <w:trHeight w:val="397"/>
          <w:jc w:val="center"/>
        </w:trPr>
        <w:tc>
          <w:tcPr>
            <w:tcW w:w="10773" w:type="dxa"/>
            <w:gridSpan w:val="2"/>
            <w:tcBorders>
              <w:top w:val="nil"/>
              <w:bottom w:val="nil"/>
            </w:tcBorders>
            <w:shd w:val="clear" w:color="auto" w:fill="F0EBE1"/>
            <w:vAlign w:val="center"/>
          </w:tcPr>
          <w:p w:rsidR="00074023" w:rsidRPr="00390282" w:rsidRDefault="00074023" w:rsidP="00FE6538">
            <w:pPr>
              <w:rPr>
                <w:rFonts w:ascii="Arial" w:hAnsi="Arial" w:cs="Arial"/>
                <w:b/>
                <w:color w:val="524B48"/>
                <w:sz w:val="24"/>
                <w:szCs w:val="24"/>
              </w:rPr>
            </w:pPr>
            <w:r w:rsidRPr="00390282">
              <w:rPr>
                <w:rFonts w:ascii="Arial" w:hAnsi="Arial" w:cs="Arial"/>
                <w:b/>
                <w:color w:val="524B48"/>
                <w:sz w:val="24"/>
                <w:szCs w:val="24"/>
              </w:rPr>
              <w:lastRenderedPageBreak/>
              <w:t>This course will cover the followings:</w:t>
            </w:r>
          </w:p>
        </w:tc>
      </w:tr>
      <w:tr w:rsidR="00074023" w:rsidRPr="00390282" w:rsidTr="00FE6538">
        <w:trPr>
          <w:trHeight w:val="3152"/>
          <w:jc w:val="center"/>
        </w:trPr>
        <w:tc>
          <w:tcPr>
            <w:tcW w:w="9049" w:type="dxa"/>
            <w:tcBorders>
              <w:top w:val="nil"/>
              <w:bottom w:val="nil"/>
              <w:right w:val="nil"/>
            </w:tcBorders>
            <w:shd w:val="clear" w:color="auto" w:fill="FFFFFF"/>
            <w:vAlign w:val="center"/>
          </w:tcPr>
          <w:p w:rsidR="00074023" w:rsidRPr="00390282" w:rsidRDefault="00074023" w:rsidP="00FE6538">
            <w:pPr>
              <w:pStyle w:val="ListParagraph"/>
              <w:numPr>
                <w:ilvl w:val="0"/>
                <w:numId w:val="2"/>
              </w:numPr>
              <w:rPr>
                <w:rFonts w:ascii="Arial" w:hAnsi="Arial" w:cs="Arial"/>
                <w:color w:val="6C6361"/>
                <w:sz w:val="24"/>
                <w:szCs w:val="24"/>
              </w:rPr>
            </w:pPr>
            <w:r w:rsidRPr="00390282">
              <w:rPr>
                <w:rFonts w:ascii="Arial" w:hAnsi="Arial" w:cs="Arial"/>
                <w:color w:val="6C6361"/>
                <w:sz w:val="24"/>
                <w:szCs w:val="24"/>
              </w:rPr>
              <w:t>Overview of AML Laws and Terrorist Financing</w:t>
            </w:r>
          </w:p>
          <w:p w:rsidR="00074023" w:rsidRPr="00390282" w:rsidRDefault="00074023" w:rsidP="00FE6538">
            <w:pPr>
              <w:pStyle w:val="ListParagraph"/>
              <w:numPr>
                <w:ilvl w:val="0"/>
                <w:numId w:val="2"/>
              </w:numPr>
              <w:rPr>
                <w:rFonts w:ascii="Arial" w:hAnsi="Arial" w:cs="Arial"/>
                <w:color w:val="6C6361"/>
                <w:sz w:val="24"/>
                <w:szCs w:val="24"/>
              </w:rPr>
            </w:pPr>
            <w:r w:rsidRPr="00390282">
              <w:rPr>
                <w:rFonts w:ascii="Arial" w:hAnsi="Arial" w:cs="Arial"/>
                <w:color w:val="6C6361"/>
                <w:sz w:val="24"/>
                <w:szCs w:val="24"/>
              </w:rPr>
              <w:t>Development of AML Laws in Hong Kong and the International Perspective</w:t>
            </w:r>
          </w:p>
          <w:p w:rsidR="00074023" w:rsidRPr="00390282" w:rsidRDefault="00074023" w:rsidP="00FE6538">
            <w:pPr>
              <w:pStyle w:val="ListParagraph"/>
              <w:numPr>
                <w:ilvl w:val="0"/>
                <w:numId w:val="2"/>
              </w:numPr>
              <w:rPr>
                <w:rFonts w:ascii="Arial" w:hAnsi="Arial" w:cs="Arial"/>
                <w:color w:val="6C6361"/>
                <w:sz w:val="24"/>
                <w:szCs w:val="24"/>
              </w:rPr>
            </w:pPr>
            <w:r w:rsidRPr="00390282">
              <w:rPr>
                <w:rFonts w:ascii="Arial" w:hAnsi="Arial" w:cs="Arial"/>
                <w:color w:val="6C6361"/>
                <w:sz w:val="24"/>
                <w:szCs w:val="24"/>
              </w:rPr>
              <w:t>Key Provisions of Hong Kong Legislation</w:t>
            </w:r>
          </w:p>
          <w:p w:rsidR="00074023" w:rsidRPr="00390282" w:rsidRDefault="00074023" w:rsidP="00FE6538">
            <w:pPr>
              <w:pStyle w:val="ListParagraph"/>
              <w:numPr>
                <w:ilvl w:val="0"/>
                <w:numId w:val="2"/>
              </w:numPr>
              <w:rPr>
                <w:rFonts w:ascii="Arial" w:hAnsi="Arial" w:cs="Arial"/>
                <w:color w:val="6C6361"/>
                <w:sz w:val="24"/>
                <w:szCs w:val="24"/>
              </w:rPr>
            </w:pPr>
            <w:r w:rsidRPr="00390282">
              <w:rPr>
                <w:rFonts w:ascii="Arial" w:hAnsi="Arial" w:cs="Arial"/>
                <w:color w:val="6C6361"/>
                <w:sz w:val="24"/>
                <w:szCs w:val="24"/>
              </w:rPr>
              <w:t>SFC/HKMA Guidelines on AML and CTF</w:t>
            </w:r>
          </w:p>
          <w:p w:rsidR="00074023" w:rsidRPr="00390282" w:rsidRDefault="00074023" w:rsidP="00FE6538">
            <w:pPr>
              <w:pStyle w:val="ListParagraph"/>
              <w:numPr>
                <w:ilvl w:val="0"/>
                <w:numId w:val="2"/>
              </w:numPr>
              <w:rPr>
                <w:rFonts w:ascii="Arial" w:hAnsi="Arial" w:cs="Arial"/>
                <w:color w:val="6C6361"/>
                <w:sz w:val="24"/>
                <w:szCs w:val="24"/>
              </w:rPr>
            </w:pPr>
            <w:r w:rsidRPr="00390282">
              <w:rPr>
                <w:rFonts w:ascii="Arial" w:hAnsi="Arial" w:cs="Arial"/>
                <w:color w:val="6C6361"/>
                <w:sz w:val="24"/>
                <w:szCs w:val="24"/>
              </w:rPr>
              <w:t>Money Laundering Warning Signs</w:t>
            </w:r>
          </w:p>
          <w:p w:rsidR="00074023" w:rsidRPr="00390282" w:rsidRDefault="00074023" w:rsidP="00FE6538">
            <w:pPr>
              <w:pStyle w:val="ListParagraph"/>
              <w:numPr>
                <w:ilvl w:val="0"/>
                <w:numId w:val="2"/>
              </w:numPr>
              <w:rPr>
                <w:rFonts w:ascii="Arial" w:hAnsi="Arial" w:cs="Arial"/>
                <w:color w:val="6C6361"/>
                <w:sz w:val="24"/>
                <w:szCs w:val="24"/>
              </w:rPr>
            </w:pPr>
            <w:r w:rsidRPr="00390282">
              <w:rPr>
                <w:rFonts w:ascii="Arial" w:hAnsi="Arial" w:cs="Arial"/>
                <w:color w:val="6C6361"/>
                <w:sz w:val="24"/>
                <w:szCs w:val="24"/>
              </w:rPr>
              <w:t>Customer Due Diligence</w:t>
            </w:r>
          </w:p>
          <w:p w:rsidR="00074023" w:rsidRPr="00390282" w:rsidRDefault="00074023" w:rsidP="00FE6538">
            <w:pPr>
              <w:pStyle w:val="ListParagraph"/>
              <w:numPr>
                <w:ilvl w:val="0"/>
                <w:numId w:val="2"/>
              </w:numPr>
              <w:rPr>
                <w:rFonts w:ascii="Arial" w:hAnsi="Arial" w:cs="Arial"/>
                <w:color w:val="6C6361"/>
                <w:sz w:val="24"/>
                <w:szCs w:val="24"/>
              </w:rPr>
            </w:pPr>
            <w:r w:rsidRPr="00390282">
              <w:rPr>
                <w:rFonts w:ascii="Arial" w:hAnsi="Arial" w:cs="Arial"/>
                <w:color w:val="6C6361"/>
                <w:sz w:val="24"/>
                <w:szCs w:val="24"/>
              </w:rPr>
              <w:t>Internal Audit and Compliance Reviews</w:t>
            </w:r>
          </w:p>
          <w:p w:rsidR="00074023" w:rsidRPr="00390282" w:rsidRDefault="00074023" w:rsidP="00FE6538">
            <w:pPr>
              <w:pStyle w:val="ListParagraph"/>
              <w:numPr>
                <w:ilvl w:val="0"/>
                <w:numId w:val="2"/>
              </w:numPr>
              <w:rPr>
                <w:rFonts w:ascii="Arial" w:hAnsi="Arial" w:cs="Arial"/>
                <w:color w:val="6C6361"/>
                <w:sz w:val="24"/>
                <w:szCs w:val="24"/>
              </w:rPr>
            </w:pPr>
            <w:r w:rsidRPr="00390282">
              <w:rPr>
                <w:rFonts w:ascii="Arial" w:hAnsi="Arial" w:cs="Arial"/>
                <w:color w:val="6C6361"/>
                <w:sz w:val="24"/>
                <w:szCs w:val="24"/>
              </w:rPr>
              <w:t>Key Findings of AML Thematic Review by HKMA</w:t>
            </w:r>
          </w:p>
          <w:p w:rsidR="00074023" w:rsidRPr="00390282" w:rsidRDefault="00074023" w:rsidP="00FE6538">
            <w:pPr>
              <w:pStyle w:val="ListParagraph"/>
              <w:numPr>
                <w:ilvl w:val="0"/>
                <w:numId w:val="2"/>
              </w:numPr>
              <w:rPr>
                <w:rFonts w:ascii="Arial" w:hAnsi="Arial" w:cs="Arial"/>
                <w:color w:val="6C6361"/>
                <w:sz w:val="24"/>
                <w:szCs w:val="24"/>
              </w:rPr>
            </w:pPr>
            <w:r w:rsidRPr="00390282">
              <w:rPr>
                <w:rFonts w:ascii="Arial" w:hAnsi="Arial" w:cs="Arial"/>
                <w:color w:val="6C6361"/>
                <w:sz w:val="24"/>
                <w:szCs w:val="24"/>
              </w:rPr>
              <w:t>Case Studies</w:t>
            </w:r>
          </w:p>
          <w:p w:rsidR="00074023" w:rsidRPr="00390282" w:rsidRDefault="00074023" w:rsidP="00FE6538">
            <w:pPr>
              <w:pStyle w:val="ListParagraph"/>
              <w:numPr>
                <w:ilvl w:val="0"/>
                <w:numId w:val="2"/>
              </w:numPr>
              <w:rPr>
                <w:rFonts w:ascii="Arial" w:hAnsi="Arial" w:cs="Arial"/>
                <w:color w:val="6C6361"/>
                <w:sz w:val="24"/>
                <w:szCs w:val="24"/>
              </w:rPr>
            </w:pPr>
            <w:r w:rsidRPr="00390282">
              <w:rPr>
                <w:rFonts w:ascii="Arial" w:hAnsi="Arial" w:cs="Arial"/>
                <w:color w:val="6C6361"/>
                <w:sz w:val="24"/>
                <w:szCs w:val="24"/>
              </w:rPr>
              <w:t>AML Enforcement Trends</w:t>
            </w:r>
            <w:r>
              <w:rPr>
                <w:rFonts w:ascii="Arial" w:hAnsi="Arial" w:cs="Arial"/>
                <w:color w:val="6C6361"/>
                <w:sz w:val="24"/>
                <w:szCs w:val="24"/>
              </w:rPr>
              <w:t xml:space="preserve"> </w:t>
            </w:r>
          </w:p>
        </w:tc>
        <w:tc>
          <w:tcPr>
            <w:tcW w:w="1724" w:type="dxa"/>
            <w:tcBorders>
              <w:top w:val="nil"/>
              <w:left w:val="nil"/>
              <w:bottom w:val="nil"/>
            </w:tcBorders>
            <w:shd w:val="clear" w:color="auto" w:fill="FFFFFF"/>
            <w:vAlign w:val="center"/>
          </w:tcPr>
          <w:p w:rsidR="00074023" w:rsidRPr="00B2647A" w:rsidRDefault="00074023" w:rsidP="00FE6538">
            <w:pPr>
              <w:rPr>
                <w:rFonts w:ascii="Arial" w:hAnsi="Arial" w:cs="Arial"/>
                <w:color w:val="6C6361"/>
                <w:sz w:val="21"/>
                <w:szCs w:val="21"/>
              </w:rPr>
            </w:pPr>
          </w:p>
          <w:p w:rsidR="00074023" w:rsidRPr="00B2647A" w:rsidRDefault="00074023" w:rsidP="00FE6538">
            <w:pPr>
              <w:rPr>
                <w:rFonts w:ascii="Arial" w:hAnsi="Arial" w:cs="Arial"/>
                <w:color w:val="6C6361"/>
                <w:sz w:val="21"/>
                <w:szCs w:val="21"/>
              </w:rPr>
            </w:pPr>
          </w:p>
          <w:p w:rsidR="00074023" w:rsidRPr="00B2647A" w:rsidRDefault="00074023" w:rsidP="00FE6538">
            <w:pPr>
              <w:rPr>
                <w:rFonts w:ascii="Arial" w:hAnsi="Arial" w:cs="Arial"/>
                <w:color w:val="6C6361"/>
                <w:sz w:val="21"/>
                <w:szCs w:val="21"/>
              </w:rPr>
            </w:pPr>
          </w:p>
          <w:p w:rsidR="00074023" w:rsidRPr="00B2647A" w:rsidRDefault="00074023" w:rsidP="00FE6538">
            <w:pPr>
              <w:rPr>
                <w:rFonts w:ascii="Arial" w:hAnsi="Arial" w:cs="Arial"/>
                <w:color w:val="6C6361"/>
                <w:sz w:val="21"/>
                <w:szCs w:val="21"/>
              </w:rPr>
            </w:pPr>
          </w:p>
          <w:p w:rsidR="00074023" w:rsidRPr="00B2647A" w:rsidRDefault="00074023" w:rsidP="00FE6538">
            <w:pPr>
              <w:rPr>
                <w:rFonts w:ascii="Arial" w:hAnsi="Arial" w:cs="Arial"/>
                <w:color w:val="6C6361"/>
                <w:sz w:val="21"/>
                <w:szCs w:val="21"/>
              </w:rPr>
            </w:pPr>
          </w:p>
          <w:p w:rsidR="00074023" w:rsidRPr="00390282" w:rsidRDefault="00074023" w:rsidP="00FE6538">
            <w:pPr>
              <w:jc w:val="center"/>
              <w:rPr>
                <w:rFonts w:ascii="Arial" w:hAnsi="Arial" w:cs="Arial"/>
                <w:color w:val="6C6361"/>
                <w:sz w:val="24"/>
                <w:szCs w:val="24"/>
              </w:rPr>
            </w:pPr>
            <w:r w:rsidRPr="00B2647A">
              <w:rPr>
                <w:rFonts w:ascii="Arial" w:hAnsi="Arial" w:cs="Arial"/>
                <w:noProof/>
                <w:color w:val="6C6361"/>
                <w:sz w:val="21"/>
                <w:szCs w:val="21"/>
              </w:rPr>
              <w:drawing>
                <wp:inline distT="0" distB="0" distL="0" distR="0" wp14:anchorId="6ACEF403" wp14:editId="2073FB59">
                  <wp:extent cx="892800" cy="10188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18800"/>
                          </a:xfrm>
                          <a:prstGeom prst="rect">
                            <a:avLst/>
                          </a:prstGeom>
                          <a:noFill/>
                          <a:ln>
                            <a:noFill/>
                          </a:ln>
                        </pic:spPr>
                      </pic:pic>
                    </a:graphicData>
                  </a:graphic>
                </wp:inline>
              </w:drawing>
            </w:r>
          </w:p>
        </w:tc>
      </w:tr>
    </w:tbl>
    <w:p w:rsidR="00074023" w:rsidRPr="009E5465" w:rsidRDefault="00074023" w:rsidP="00074023">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349"/>
        <w:gridCol w:w="1336"/>
      </w:tblGrid>
      <w:tr w:rsidR="006A36FB" w:rsidRPr="00320F79" w:rsidTr="00FE6538">
        <w:trPr>
          <w:trHeight w:val="397"/>
          <w:jc w:val="center"/>
        </w:trPr>
        <w:tc>
          <w:tcPr>
            <w:tcW w:w="1701" w:type="dxa"/>
            <w:tcBorders>
              <w:top w:val="nil"/>
              <w:left w:val="nil"/>
              <w:bottom w:val="single" w:sz="12" w:space="0" w:color="FFFFFF"/>
            </w:tcBorders>
            <w:shd w:val="clear" w:color="auto" w:fill="F0EBE1"/>
            <w:vAlign w:val="center"/>
          </w:tcPr>
          <w:p w:rsidR="006A36FB" w:rsidRPr="00320F79" w:rsidRDefault="006A36FB" w:rsidP="006A36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6A36FB" w:rsidRPr="00320F79" w:rsidRDefault="006A36FB" w:rsidP="006A36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EVT000000085</w:t>
            </w:r>
          </w:p>
        </w:tc>
        <w:tc>
          <w:tcPr>
            <w:tcW w:w="1701" w:type="dxa"/>
            <w:tcBorders>
              <w:top w:val="nil"/>
              <w:bottom w:val="single" w:sz="12" w:space="0" w:color="FFFFFF"/>
            </w:tcBorders>
            <w:shd w:val="clear" w:color="auto" w:fill="F0EBE1"/>
            <w:vAlign w:val="center"/>
          </w:tcPr>
          <w:p w:rsidR="006A36FB" w:rsidRPr="00320F79" w:rsidRDefault="006A36FB" w:rsidP="006A36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6A36FB" w:rsidRPr="00320F79" w:rsidRDefault="006A36FB" w:rsidP="006A36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Advanced</w:t>
            </w:r>
          </w:p>
        </w:tc>
      </w:tr>
      <w:tr w:rsidR="006A36FB" w:rsidRPr="00320F79" w:rsidTr="00FE6538">
        <w:trPr>
          <w:trHeight w:val="397"/>
          <w:jc w:val="center"/>
        </w:trPr>
        <w:tc>
          <w:tcPr>
            <w:tcW w:w="1701" w:type="dxa"/>
            <w:tcBorders>
              <w:top w:val="single" w:sz="12" w:space="0" w:color="FFFFFF"/>
              <w:left w:val="nil"/>
              <w:bottom w:val="single" w:sz="12" w:space="0" w:color="FFFFFF"/>
            </w:tcBorders>
            <w:shd w:val="clear" w:color="auto" w:fill="F0EBE1"/>
            <w:vAlign w:val="center"/>
          </w:tcPr>
          <w:p w:rsidR="006A36FB" w:rsidRPr="00320F79" w:rsidRDefault="006A36FB" w:rsidP="006A36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6A36FB" w:rsidRPr="00320F79" w:rsidRDefault="006A36FB" w:rsidP="006A36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30 October</w:t>
            </w:r>
            <w:r w:rsidRPr="00ED694B">
              <w:rPr>
                <w:rFonts w:ascii="Arial" w:hAnsi="Arial" w:cs="Arial"/>
                <w:b/>
                <w:color w:val="6C6361"/>
                <w:sz w:val="20"/>
                <w:szCs w:val="20"/>
              </w:rPr>
              <w:t xml:space="preserve"> 2015 (</w:t>
            </w:r>
            <w:r>
              <w:rPr>
                <w:rFonts w:ascii="Arial" w:hAnsi="Arial" w:cs="Arial"/>
                <w:b/>
                <w:color w:val="6C6361"/>
                <w:sz w:val="20"/>
                <w:szCs w:val="20"/>
              </w:rPr>
              <w:t>Friday</w:t>
            </w:r>
            <w:r w:rsidRPr="00ED694B">
              <w:rPr>
                <w:rFonts w:ascii="Arial" w:hAnsi="Arial" w:cs="Arial"/>
                <w:b/>
                <w:color w:val="6C6361"/>
                <w:sz w:val="20"/>
                <w:szCs w:val="20"/>
              </w:rPr>
              <w:t>)</w:t>
            </w:r>
          </w:p>
        </w:tc>
        <w:tc>
          <w:tcPr>
            <w:tcW w:w="1701" w:type="dxa"/>
            <w:tcBorders>
              <w:top w:val="single" w:sz="12" w:space="0" w:color="FFFFFF"/>
              <w:bottom w:val="single" w:sz="12" w:space="0" w:color="FFFFFF"/>
            </w:tcBorders>
            <w:shd w:val="clear" w:color="auto" w:fill="F0EBE1"/>
            <w:vAlign w:val="center"/>
          </w:tcPr>
          <w:p w:rsidR="006A36FB" w:rsidRPr="00320F79" w:rsidRDefault="006A36FB" w:rsidP="006A36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6A36FB" w:rsidRPr="00320F79" w:rsidRDefault="006A36FB" w:rsidP="006A36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eastAsia="Times New Roman" w:hAnsi="Arial" w:cs="Arial"/>
                <w:b/>
                <w:noProof/>
                <w:color w:val="6C6361"/>
                <w:sz w:val="20"/>
                <w:szCs w:val="20"/>
              </w:rPr>
              <w:t>English</w:t>
            </w:r>
          </w:p>
        </w:tc>
      </w:tr>
      <w:tr w:rsidR="006A36FB" w:rsidRPr="00320F79" w:rsidTr="00FE6538">
        <w:trPr>
          <w:trHeight w:val="397"/>
          <w:jc w:val="center"/>
        </w:trPr>
        <w:tc>
          <w:tcPr>
            <w:tcW w:w="1701" w:type="dxa"/>
            <w:tcBorders>
              <w:top w:val="single" w:sz="12" w:space="0" w:color="FFFFFF"/>
              <w:left w:val="nil"/>
              <w:bottom w:val="single" w:sz="12" w:space="0" w:color="FFFFFF"/>
            </w:tcBorders>
            <w:shd w:val="clear" w:color="auto" w:fill="F0EBE1"/>
            <w:vAlign w:val="center"/>
          </w:tcPr>
          <w:p w:rsidR="006A36FB" w:rsidRPr="00320F79" w:rsidRDefault="006A36FB" w:rsidP="006A36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6A36FB" w:rsidRPr="00320F79" w:rsidRDefault="006A36FB" w:rsidP="006A36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:30 - 1</w:t>
            </w:r>
            <w:r>
              <w:rPr>
                <w:rFonts w:ascii="Arial" w:hAnsi="Arial" w:cs="Arial"/>
                <w:b/>
                <w:color w:val="6C6361"/>
                <w:sz w:val="20"/>
                <w:szCs w:val="20"/>
              </w:rPr>
              <w:t>7</w:t>
            </w:r>
            <w:r w:rsidRPr="00320F79">
              <w:rPr>
                <w:rFonts w:ascii="Arial" w:hAnsi="Arial" w:cs="Arial"/>
                <w:b/>
                <w:color w:val="6C6361"/>
                <w:sz w:val="20"/>
                <w:szCs w:val="20"/>
              </w:rPr>
              <w:t>:45</w:t>
            </w:r>
          </w:p>
          <w:p w:rsidR="006A36FB" w:rsidRPr="00320F79" w:rsidRDefault="006A36FB" w:rsidP="006A36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6A36FB" w:rsidRPr="00320F79" w:rsidRDefault="006A36FB" w:rsidP="006A36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6A36FB" w:rsidRPr="009055F4" w:rsidRDefault="006A36FB" w:rsidP="006A36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320F79">
              <w:rPr>
                <w:rFonts w:ascii="Arial" w:hAnsi="Arial" w:cs="Arial"/>
                <w:b/>
                <w:color w:val="6C6361"/>
                <w:sz w:val="20"/>
                <w:szCs w:val="20"/>
              </w:rPr>
              <w:t xml:space="preserve">LSHK </w:t>
            </w:r>
            <w:r>
              <w:rPr>
                <w:rFonts w:ascii="Arial" w:hAnsi="Arial" w:cs="Arial"/>
                <w:b/>
                <w:color w:val="6C6361"/>
                <w:sz w:val="20"/>
                <w:szCs w:val="20"/>
              </w:rPr>
              <w:t>RME Elective Course</w:t>
            </w:r>
          </w:p>
          <w:p w:rsidR="006A36FB" w:rsidRDefault="006A36FB" w:rsidP="006A36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 xml:space="preserve">LSHK 3.0 </w:t>
            </w:r>
            <w:r w:rsidRPr="00320F79">
              <w:rPr>
                <w:rFonts w:ascii="Arial" w:hAnsi="Arial" w:cs="Arial"/>
                <w:b/>
                <w:color w:val="6C6361"/>
                <w:sz w:val="20"/>
                <w:szCs w:val="20"/>
              </w:rPr>
              <w:t>CPD Points</w:t>
            </w:r>
          </w:p>
          <w:p w:rsidR="006A36FB" w:rsidRPr="00584897" w:rsidRDefault="006A36FB" w:rsidP="006A36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584897">
              <w:rPr>
                <w:rFonts w:ascii="Arial" w:hAnsi="Arial" w:cs="Arial"/>
                <w:color w:val="6C6361"/>
                <w:sz w:val="20"/>
                <w:szCs w:val="20"/>
              </w:rPr>
              <w:t>(LSHK Allocated Number: 20152429)</w:t>
            </w:r>
          </w:p>
          <w:p w:rsidR="006A36FB" w:rsidRPr="00B745DB" w:rsidRDefault="006A36FB" w:rsidP="006A36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SFC 3.0 CPT Hours</w:t>
            </w:r>
          </w:p>
        </w:tc>
      </w:tr>
      <w:tr w:rsidR="006A36FB" w:rsidRPr="00320F79" w:rsidTr="00FE6538">
        <w:trPr>
          <w:trHeight w:val="1247"/>
          <w:jc w:val="center"/>
        </w:trPr>
        <w:tc>
          <w:tcPr>
            <w:tcW w:w="1701" w:type="dxa"/>
            <w:tcBorders>
              <w:top w:val="single" w:sz="12" w:space="0" w:color="FFFFFF"/>
              <w:left w:val="nil"/>
              <w:bottom w:val="nil"/>
            </w:tcBorders>
            <w:shd w:val="clear" w:color="auto" w:fill="F0EBE1"/>
            <w:vAlign w:val="center"/>
          </w:tcPr>
          <w:p w:rsidR="006A36FB" w:rsidRPr="00320F79" w:rsidRDefault="006A36FB" w:rsidP="006A36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6A36FB" w:rsidRPr="00320F79" w:rsidRDefault="006A36FB" w:rsidP="006A36FB">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r w:rsidRPr="00320F79">
              <w:rPr>
                <w:rStyle w:val="Hyperlink"/>
                <w:rFonts w:ascii="Arial" w:hAnsi="Arial" w:cs="Arial"/>
                <w:b/>
                <w:color w:val="6C6361"/>
                <w:sz w:val="20"/>
                <w:szCs w:val="20"/>
                <w:u w:val="none"/>
              </w:rPr>
              <w:t>Kornerstone Institute</w:t>
            </w:r>
          </w:p>
          <w:p w:rsidR="006A36FB" w:rsidRPr="00320F79" w:rsidRDefault="006A36FB" w:rsidP="006A36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15/F, Hip Shing Hong Centre</w:t>
            </w:r>
          </w:p>
          <w:p w:rsidR="006A36FB" w:rsidRPr="00320F79" w:rsidRDefault="006A36FB" w:rsidP="006A36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55 Des Voeux Road Central</w:t>
            </w:r>
          </w:p>
          <w:p w:rsidR="006A36FB" w:rsidRPr="00320F79" w:rsidRDefault="006A36FB" w:rsidP="006A36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6A36FB" w:rsidRDefault="006A36FB" w:rsidP="006A36FB">
            <w:pPr>
              <w:jc w:val="right"/>
              <w:rPr>
                <w:rFonts w:ascii="Arial" w:hAnsi="Arial" w:cs="Arial"/>
                <w:b/>
                <w:color w:val="6C6361"/>
                <w:sz w:val="20"/>
                <w:szCs w:val="20"/>
              </w:rPr>
            </w:pPr>
          </w:p>
          <w:p w:rsidR="006A36FB" w:rsidRDefault="006A36FB" w:rsidP="006A36FB">
            <w:pPr>
              <w:jc w:val="right"/>
              <w:rPr>
                <w:rFonts w:ascii="Arial" w:hAnsi="Arial" w:cs="Arial"/>
                <w:b/>
                <w:color w:val="6C6361"/>
                <w:sz w:val="20"/>
                <w:szCs w:val="20"/>
              </w:rPr>
            </w:pPr>
          </w:p>
          <w:p w:rsidR="006A36FB" w:rsidRPr="00320F79" w:rsidRDefault="006A36FB" w:rsidP="006A36FB">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7354267A" wp14:editId="7E54F88C">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6A36FB" w:rsidRPr="00E2201B" w:rsidRDefault="006A36FB" w:rsidP="006A36FB">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6A36FB" w:rsidRPr="00435EDD" w:rsidRDefault="006A36FB" w:rsidP="006A36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435EDD">
              <w:rPr>
                <w:rFonts w:ascii="Arial" w:eastAsia="Times New Roman" w:hAnsi="Arial" w:cs="Arial"/>
                <w:noProof/>
                <w:color w:val="524B48"/>
                <w:sz w:val="20"/>
                <w:szCs w:val="20"/>
              </w:rPr>
              <w:t>Request for</w:t>
            </w:r>
          </w:p>
          <w:p w:rsidR="006A36FB" w:rsidRPr="00435EDD" w:rsidRDefault="006A36FB" w:rsidP="006A36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435EDD">
              <w:rPr>
                <w:rFonts w:ascii="Arial" w:eastAsia="Times New Roman" w:hAnsi="Arial" w:cs="Arial"/>
                <w:noProof/>
                <w:color w:val="524B48"/>
                <w:sz w:val="20"/>
                <w:szCs w:val="20"/>
              </w:rPr>
              <w:t>Rerun:</w:t>
            </w:r>
          </w:p>
        </w:tc>
        <w:tc>
          <w:tcPr>
            <w:tcW w:w="2349" w:type="dxa"/>
            <w:tcBorders>
              <w:top w:val="single" w:sz="12" w:space="0" w:color="F0EBE1"/>
              <w:bottom w:val="nil"/>
              <w:right w:val="nil"/>
            </w:tcBorders>
            <w:shd w:val="clear" w:color="auto" w:fill="FFFFFF"/>
            <w:vAlign w:val="center"/>
          </w:tcPr>
          <w:p w:rsidR="006A36FB" w:rsidRPr="00435EDD" w:rsidRDefault="006A36FB" w:rsidP="006A36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435EDD">
              <w:rPr>
                <w:rFonts w:ascii="Arial" w:eastAsia="Times New Roman" w:hAnsi="Arial" w:cs="Arial"/>
                <w:b/>
                <w:noProof/>
                <w:color w:val="6C6361"/>
                <w:sz w:val="20"/>
                <w:szCs w:val="20"/>
              </w:rPr>
              <w:t xml:space="preserve">Please </w:t>
            </w:r>
            <w:hyperlink r:id="rId16" w:history="1">
              <w:r w:rsidRPr="00435EDD">
                <w:rPr>
                  <w:rStyle w:val="Hyperlink"/>
                  <w:rFonts w:ascii="Arial" w:eastAsia="Times New Roman" w:hAnsi="Arial" w:cs="Arial"/>
                  <w:b/>
                  <w:noProof/>
                  <w:color w:val="6C6361"/>
                  <w:sz w:val="20"/>
                  <w:szCs w:val="20"/>
                  <w:u w:val="none"/>
                </w:rPr>
                <w:t>Contact Us</w:t>
              </w:r>
            </w:hyperlink>
          </w:p>
          <w:p w:rsidR="006A36FB" w:rsidRPr="00435EDD" w:rsidRDefault="006A36FB" w:rsidP="006A36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435EDD">
              <w:rPr>
                <w:rFonts w:ascii="Arial" w:eastAsia="Times New Roman" w:hAnsi="Arial" w:cs="Arial"/>
                <w:b/>
                <w:noProof/>
                <w:color w:val="6C6361"/>
                <w:sz w:val="20"/>
                <w:szCs w:val="20"/>
              </w:rPr>
              <w:t>for Details</w:t>
            </w:r>
          </w:p>
        </w:tc>
        <w:tc>
          <w:tcPr>
            <w:tcW w:w="1336" w:type="dxa"/>
            <w:tcBorders>
              <w:top w:val="single" w:sz="12" w:space="0" w:color="F0EBE1"/>
              <w:left w:val="nil"/>
              <w:bottom w:val="nil"/>
              <w:right w:val="nil"/>
            </w:tcBorders>
            <w:shd w:val="clear" w:color="auto" w:fill="FFFFFF"/>
            <w:vAlign w:val="center"/>
          </w:tcPr>
          <w:p w:rsidR="006A36FB" w:rsidRPr="00156567" w:rsidRDefault="006A36FB" w:rsidP="006A36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1CD01829" wp14:editId="763B95C3">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074023" w:rsidRDefault="00074023" w:rsidP="00074023">
      <w:pPr>
        <w:rPr>
          <w:rFonts w:ascii="Arial" w:hAnsi="Arial" w:cs="Arial"/>
          <w:color w:val="524B48"/>
          <w:sz w:val="2"/>
          <w:szCs w:val="2"/>
        </w:rPr>
      </w:pPr>
    </w:p>
    <w:p w:rsidR="00074023" w:rsidRDefault="00074023" w:rsidP="00074023">
      <w:pPr>
        <w:rPr>
          <w:rFonts w:ascii="Arial" w:hAnsi="Arial" w:cs="Arial"/>
          <w:color w:val="524B48"/>
          <w:sz w:val="2"/>
          <w:szCs w:val="2"/>
        </w:rPr>
      </w:pPr>
    </w:p>
    <w:p w:rsidR="00074023" w:rsidRDefault="00074023" w:rsidP="00074023">
      <w:pPr>
        <w:rPr>
          <w:rFonts w:ascii="Arial" w:hAnsi="Arial" w:cs="Arial"/>
          <w:color w:val="524B48"/>
          <w:sz w:val="2"/>
          <w:szCs w:val="2"/>
        </w:rPr>
      </w:pPr>
    </w:p>
    <w:p w:rsidR="00074023" w:rsidRDefault="00074023" w:rsidP="00074023">
      <w:pPr>
        <w:rPr>
          <w:rFonts w:ascii="Arial" w:hAnsi="Arial" w:cs="Arial"/>
          <w:color w:val="524B48"/>
          <w:sz w:val="2"/>
          <w:szCs w:val="2"/>
        </w:rPr>
      </w:pPr>
    </w:p>
    <w:sectPr w:rsidR="00074023"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0DA1" w:rsidRDefault="00150DA1" w:rsidP="00546556">
      <w:r>
        <w:separator/>
      </w:r>
    </w:p>
  </w:endnote>
  <w:endnote w:type="continuationSeparator" w:id="0">
    <w:p w:rsidR="00150DA1" w:rsidRDefault="00150DA1"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0DA1" w:rsidRDefault="00150DA1" w:rsidP="00546556">
      <w:r>
        <w:separator/>
      </w:r>
    </w:p>
  </w:footnote>
  <w:footnote w:type="continuationSeparator" w:id="0">
    <w:p w:rsidR="00150DA1" w:rsidRDefault="00150DA1"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4A4F7116"/>
    <w:multiLevelType w:val="hybridMultilevel"/>
    <w:tmpl w:val="472A85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4"/>
  </w:num>
  <w:num w:numId="3">
    <w:abstractNumId w:val="12"/>
  </w:num>
  <w:num w:numId="4">
    <w:abstractNumId w:val="1"/>
  </w:num>
  <w:num w:numId="5">
    <w:abstractNumId w:val="3"/>
  </w:num>
  <w:num w:numId="6">
    <w:abstractNumId w:val="13"/>
  </w:num>
  <w:num w:numId="7">
    <w:abstractNumId w:val="2"/>
  </w:num>
  <w:num w:numId="8">
    <w:abstractNumId w:val="14"/>
  </w:num>
  <w:num w:numId="9">
    <w:abstractNumId w:val="15"/>
  </w:num>
  <w:num w:numId="10">
    <w:abstractNumId w:val="10"/>
  </w:num>
  <w:num w:numId="11">
    <w:abstractNumId w:val="0"/>
  </w:num>
  <w:num w:numId="12">
    <w:abstractNumId w:val="6"/>
  </w:num>
  <w:num w:numId="13">
    <w:abstractNumId w:val="11"/>
  </w:num>
  <w:num w:numId="14">
    <w:abstractNumId w:val="5"/>
  </w:num>
  <w:num w:numId="15">
    <w:abstractNumId w:val="9"/>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xVMQr5fRIW6HcskfKW6raFEPkl4ZcrQ1GnVbhpN4u9kHGzx1vJthaakz5/J4vC63ItpauxrkEHU55Jcgo75bWA==" w:salt="uiu3fWtXtVL7NRS2y/JsB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39E"/>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023"/>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0DA1"/>
    <w:rsid w:val="00151FD4"/>
    <w:rsid w:val="00152736"/>
    <w:rsid w:val="00152CED"/>
    <w:rsid w:val="00153BCF"/>
    <w:rsid w:val="001543E8"/>
    <w:rsid w:val="001559FE"/>
    <w:rsid w:val="00157EEF"/>
    <w:rsid w:val="0016177F"/>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1ADA"/>
    <w:rsid w:val="001A2375"/>
    <w:rsid w:val="001A58FC"/>
    <w:rsid w:val="001A5AC6"/>
    <w:rsid w:val="001A5B6D"/>
    <w:rsid w:val="001A6DBC"/>
    <w:rsid w:val="001A7DE6"/>
    <w:rsid w:val="001B00FA"/>
    <w:rsid w:val="001B01D2"/>
    <w:rsid w:val="001B130F"/>
    <w:rsid w:val="001B15A3"/>
    <w:rsid w:val="001B1754"/>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77FF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96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3BD"/>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36FB"/>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D1A"/>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B3A"/>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075E"/>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2EB4"/>
    <w:rsid w:val="00A03188"/>
    <w:rsid w:val="00A045AD"/>
    <w:rsid w:val="00A04F62"/>
    <w:rsid w:val="00A05AC6"/>
    <w:rsid w:val="00A05F57"/>
    <w:rsid w:val="00A076F7"/>
    <w:rsid w:val="00A0782C"/>
    <w:rsid w:val="00A10230"/>
    <w:rsid w:val="00A114EF"/>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1852"/>
    <w:rsid w:val="00C467D6"/>
    <w:rsid w:val="00C47C41"/>
    <w:rsid w:val="00C5001B"/>
    <w:rsid w:val="00C503C8"/>
    <w:rsid w:val="00C50448"/>
    <w:rsid w:val="00C5121A"/>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858"/>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6E10"/>
    <w:rsid w:val="00F97450"/>
    <w:rsid w:val="00FA00F4"/>
    <w:rsid w:val="00FA093E"/>
    <w:rsid w:val="00FA0A73"/>
    <w:rsid w:val="00FA1738"/>
    <w:rsid w:val="00FA1DC7"/>
    <w:rsid w:val="00FA3543"/>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2455/"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065/"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A76CF3-1042-4825-8DD9-D843BF6D5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461</Words>
  <Characters>2633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CPD Course, CPT Course, RME Elective Course: Anti-Money Laundering Essentials for Financial Institutions and Licensed Corporations</vt:lpstr>
    </vt:vector>
  </TitlesOfParts>
  <Manager>Tyrone Tsang</Manager>
  <Company>The Profectional Company Limited</Company>
  <LinksUpToDate>false</LinksUpToDate>
  <CharactersWithSpaces>3088</CharactersWithSpaces>
  <SharedDoc>false</SharedDoc>
  <HyperlinkBase>http://download.profectional.com/events/EVT000000085.docx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RME Elective Course: Anti-Money Laundering Essentials for Financial Institutions and Licensed Corporations</dc:title>
  <dc:subject>CPD Course, CPT Course, RME Elective Course: Anti-Money Laundering Essentials for Financial Institutions and Licensed Corporations</dc:subject>
  <dc:creator>The Profectional Company Limited</dc:creator>
  <cp:keywords>Profectional; Kornerstone; CPD; CPT; CLE; CE; RME; Gavin Shiu; Senior Assistant Director of Public Prosecutions; Hong Kong Department of Justice; Commercial Crime Specialist</cp:keywords>
  <cp:lastModifiedBy>Tyrone Tsang</cp:lastModifiedBy>
  <cp:revision>9</cp:revision>
  <cp:lastPrinted>2015-04-20T11:33:00Z</cp:lastPrinted>
  <dcterms:created xsi:type="dcterms:W3CDTF">2015-01-21T17:25:00Z</dcterms:created>
  <dcterms:modified xsi:type="dcterms:W3CDTF">2016-09-01T14:27:00Z</dcterms:modified>
</cp:coreProperties>
</file>