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57F" w:rsidRPr="00D8757F" w:rsidRDefault="00D8757F" w:rsidP="00D8757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8757F" w:rsidRPr="00523A64" w:rsidTr="00A87D2A">
        <w:trPr>
          <w:trHeight w:val="3119"/>
          <w:jc w:val="center"/>
        </w:trPr>
        <w:tc>
          <w:tcPr>
            <w:tcW w:w="4820" w:type="dxa"/>
            <w:shd w:val="clear" w:color="auto" w:fill="FFFFFF"/>
            <w:vAlign w:val="center"/>
          </w:tcPr>
          <w:p w:rsidR="00D8757F" w:rsidRPr="001A3018" w:rsidRDefault="00D8757F" w:rsidP="00A87D2A">
            <w:pPr>
              <w:jc w:val="center"/>
              <w:rPr>
                <w:rFonts w:ascii="Arial" w:hAnsi="Arial" w:cs="Arial"/>
                <w:b/>
                <w:bCs/>
                <w:color w:val="524B48"/>
                <w:sz w:val="4"/>
                <w:szCs w:val="4"/>
              </w:rPr>
            </w:pPr>
          </w:p>
          <w:p w:rsidR="00D8757F" w:rsidRDefault="00D8757F" w:rsidP="00A87D2A">
            <w:pPr>
              <w:jc w:val="center"/>
              <w:rPr>
                <w:rStyle w:val="Hyperlink"/>
                <w:rFonts w:ascii="Arial" w:hAnsi="Arial" w:cs="Arial"/>
                <w:b/>
                <w:bCs/>
                <w:color w:val="524B48"/>
                <w:sz w:val="32"/>
                <w:szCs w:val="32"/>
                <w:u w:val="none"/>
              </w:rPr>
            </w:pPr>
            <w:r w:rsidRPr="00CF685C">
              <w:fldChar w:fldCharType="begin"/>
            </w:r>
            <w:r>
              <w:instrText>HYPERLINK "http://cpd.hk/evt000000086/"</w:instrText>
            </w:r>
            <w:r w:rsidRPr="00CF685C">
              <w:fldChar w:fldCharType="separate"/>
            </w:r>
            <w:r w:rsidRPr="00D529E3">
              <w:rPr>
                <w:rStyle w:val="Hyperlink"/>
                <w:rFonts w:ascii="Arial" w:hAnsi="Arial" w:cs="Arial"/>
                <w:b/>
                <w:bCs/>
                <w:color w:val="524B48"/>
                <w:sz w:val="32"/>
                <w:szCs w:val="32"/>
                <w:u w:val="none"/>
              </w:rPr>
              <w:t xml:space="preserve">The </w:t>
            </w:r>
            <w:r>
              <w:rPr>
                <w:rStyle w:val="Hyperlink"/>
                <w:rFonts w:ascii="Arial" w:hAnsi="Arial" w:cs="Arial"/>
                <w:b/>
                <w:bCs/>
                <w:color w:val="524B48"/>
                <w:sz w:val="32"/>
                <w:szCs w:val="32"/>
                <w:u w:val="none"/>
              </w:rPr>
              <w:t>Distinctive Features</w:t>
            </w:r>
          </w:p>
          <w:p w:rsidR="00D8757F" w:rsidRDefault="00D8757F" w:rsidP="00A87D2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of</w:t>
            </w:r>
          </w:p>
          <w:p w:rsidR="00D8757F" w:rsidRPr="00D529E3" w:rsidRDefault="00D8757F" w:rsidP="00A87D2A">
            <w:pPr>
              <w:jc w:val="center"/>
              <w:rPr>
                <w:rStyle w:val="Hyperlink"/>
                <w:rFonts w:ascii="Arial" w:hAnsi="Arial" w:cs="Arial"/>
                <w:b/>
                <w:bCs/>
                <w:color w:val="524B48"/>
                <w:sz w:val="32"/>
                <w:szCs w:val="32"/>
                <w:u w:val="none"/>
              </w:rPr>
            </w:pPr>
            <w:r w:rsidRPr="00D529E3">
              <w:rPr>
                <w:rStyle w:val="Hyperlink"/>
                <w:rFonts w:ascii="Arial" w:hAnsi="Arial" w:cs="Arial"/>
                <w:b/>
                <w:bCs/>
                <w:color w:val="524B48"/>
                <w:sz w:val="32"/>
                <w:szCs w:val="32"/>
                <w:u w:val="none"/>
              </w:rPr>
              <w:t>Public Law Proceedings</w:t>
            </w:r>
          </w:p>
          <w:p w:rsidR="00D8757F" w:rsidRPr="00C65AFD" w:rsidRDefault="00D8757F" w:rsidP="00A87D2A">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D8757F" w:rsidRPr="00C65AFD" w:rsidRDefault="00D8757F" w:rsidP="00A87D2A">
            <w:pPr>
              <w:jc w:val="center"/>
              <w:rPr>
                <w:rFonts w:ascii="Arial" w:hAnsi="Arial" w:cs="Arial"/>
                <w:i/>
                <w:color w:val="6C6361"/>
                <w:sz w:val="24"/>
                <w:szCs w:val="24"/>
              </w:rPr>
            </w:pPr>
            <w:r w:rsidRPr="00C65AFD">
              <w:rPr>
                <w:rFonts w:ascii="Arial" w:hAnsi="Arial" w:cs="Arial"/>
                <w:i/>
                <w:color w:val="6C6361"/>
                <w:sz w:val="24"/>
                <w:szCs w:val="24"/>
              </w:rPr>
              <w:t>by</w:t>
            </w:r>
          </w:p>
          <w:p w:rsidR="00D8757F" w:rsidRPr="00D529E3" w:rsidRDefault="00E52B5F" w:rsidP="00A87D2A">
            <w:pPr>
              <w:jc w:val="center"/>
              <w:rPr>
                <w:rFonts w:ascii="Arial" w:hAnsi="Arial" w:cs="Arial"/>
                <w:color w:val="6C6361"/>
                <w:sz w:val="24"/>
                <w:szCs w:val="24"/>
              </w:rPr>
            </w:pPr>
            <w:hyperlink r:id="rId8" w:history="1">
              <w:r w:rsidR="00D8757F" w:rsidRPr="00D529E3">
                <w:rPr>
                  <w:rStyle w:val="Hyperlink"/>
                  <w:rFonts w:ascii="Arial" w:hAnsi="Arial" w:cs="Arial"/>
                  <w:color w:val="6C6361"/>
                  <w:sz w:val="24"/>
                  <w:szCs w:val="24"/>
                  <w:u w:val="none"/>
                </w:rPr>
                <w:t>Mr. Lewis C.M. Law</w:t>
              </w:r>
            </w:hyperlink>
            <w:r w:rsidR="00D8757F" w:rsidRPr="00D529E3">
              <w:rPr>
                <w:rFonts w:ascii="Arial" w:hAnsi="Arial" w:cs="Arial"/>
                <w:color w:val="6C6361"/>
                <w:sz w:val="24"/>
                <w:szCs w:val="24"/>
              </w:rPr>
              <w:t>,</w:t>
            </w:r>
          </w:p>
          <w:p w:rsidR="00D8757F" w:rsidRDefault="00D8757F" w:rsidP="00A87D2A">
            <w:pPr>
              <w:jc w:val="center"/>
              <w:rPr>
                <w:rFonts w:ascii="Arial" w:hAnsi="Arial" w:cs="Arial"/>
                <w:color w:val="6C6361"/>
                <w:sz w:val="24"/>
                <w:szCs w:val="24"/>
              </w:rPr>
            </w:pPr>
            <w:r>
              <w:rPr>
                <w:rFonts w:ascii="Arial" w:hAnsi="Arial" w:cs="Arial"/>
                <w:color w:val="6C6361"/>
                <w:sz w:val="24"/>
                <w:szCs w:val="24"/>
              </w:rPr>
              <w:t>Barrister-at-Law,</w:t>
            </w:r>
          </w:p>
          <w:p w:rsidR="00D8757F" w:rsidRDefault="00D8757F" w:rsidP="00A87D2A">
            <w:pPr>
              <w:jc w:val="center"/>
              <w:rPr>
                <w:rFonts w:ascii="Arial" w:hAnsi="Arial" w:cs="Arial"/>
                <w:color w:val="6C6361"/>
                <w:sz w:val="8"/>
                <w:szCs w:val="8"/>
              </w:rPr>
            </w:pPr>
            <w:r>
              <w:rPr>
                <w:rFonts w:ascii="Arial" w:hAnsi="Arial" w:cs="Arial"/>
                <w:color w:val="6C6361"/>
                <w:sz w:val="24"/>
                <w:szCs w:val="24"/>
              </w:rPr>
              <w:t>Parkside Chambers</w:t>
            </w:r>
          </w:p>
          <w:p w:rsidR="00D8757F" w:rsidRPr="00D87ECF" w:rsidRDefault="00D8757F" w:rsidP="00A87D2A">
            <w:pPr>
              <w:jc w:val="center"/>
              <w:rPr>
                <w:rFonts w:ascii="Arial" w:hAnsi="Arial" w:cs="Arial"/>
                <w:color w:val="6C6361"/>
                <w:sz w:val="8"/>
                <w:szCs w:val="8"/>
              </w:rPr>
            </w:pPr>
          </w:p>
        </w:tc>
        <w:tc>
          <w:tcPr>
            <w:tcW w:w="5954" w:type="dxa"/>
            <w:shd w:val="clear" w:color="auto" w:fill="FFFFFF"/>
            <w:vAlign w:val="center"/>
          </w:tcPr>
          <w:p w:rsidR="00D8757F" w:rsidRPr="00D50772" w:rsidRDefault="00D8757F" w:rsidP="00A87D2A">
            <w:pPr>
              <w:spacing w:line="276" w:lineRule="auto"/>
              <w:jc w:val="center"/>
              <w:rPr>
                <w:rFonts w:ascii="Arial" w:eastAsia="Times New Roman" w:hAnsi="Arial" w:cs="Arial"/>
                <w:noProof/>
                <w:sz w:val="20"/>
                <w:szCs w:val="20"/>
              </w:rPr>
            </w:pPr>
            <w:r w:rsidRPr="00CB5B93">
              <w:rPr>
                <w:rStyle w:val="Hyperlink"/>
                <w:rFonts w:ascii="Arial" w:hAnsi="Arial" w:cs="Arial"/>
                <w:noProof/>
                <w:color w:val="6C6361"/>
                <w:sz w:val="20"/>
                <w:szCs w:val="20"/>
                <w:u w:val="none"/>
              </w:rPr>
              <w:drawing>
                <wp:anchor distT="0" distB="0" distL="114300" distR="114300" simplePos="0" relativeHeight="251659264" behindDoc="0" locked="0" layoutInCell="1" allowOverlap="1" wp14:anchorId="1111B12F" wp14:editId="6EC70687">
                  <wp:simplePos x="0" y="0"/>
                  <wp:positionH relativeFrom="column">
                    <wp:posOffset>3187700</wp:posOffset>
                  </wp:positionH>
                  <wp:positionV relativeFrom="paragraph">
                    <wp:posOffset>-60325</wp:posOffset>
                  </wp:positionV>
                  <wp:extent cx="53594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4525A8F" wp14:editId="466900F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D8757F" w:rsidRDefault="00D8757F" w:rsidP="00D8757F">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D8757F" w:rsidRPr="00B745DB" w:rsidTr="00A87D2A">
        <w:trPr>
          <w:trHeight w:val="2529"/>
          <w:jc w:val="center"/>
        </w:trPr>
        <w:tc>
          <w:tcPr>
            <w:tcW w:w="1985" w:type="dxa"/>
            <w:shd w:val="clear" w:color="auto" w:fill="FFFFFF"/>
            <w:vAlign w:val="center"/>
          </w:tcPr>
          <w:p w:rsidR="00D8757F" w:rsidRPr="00B745DB" w:rsidRDefault="00D8757F" w:rsidP="00A87D2A">
            <w:pPr>
              <w:spacing w:line="276" w:lineRule="auto"/>
              <w:jc w:val="center"/>
              <w:rPr>
                <w:rFonts w:ascii="Arial" w:hAnsi="Arial" w:cs="Arial"/>
                <w:sz w:val="24"/>
                <w:szCs w:val="24"/>
              </w:rPr>
            </w:pPr>
            <w:r w:rsidRPr="00B745DB">
              <w:rPr>
                <w:rFonts w:ascii="Arial" w:hAnsi="Arial" w:cs="Arial"/>
                <w:noProof/>
                <w:sz w:val="24"/>
                <w:szCs w:val="24"/>
              </w:rPr>
              <w:drawing>
                <wp:inline distT="0" distB="0" distL="0" distR="0" wp14:anchorId="45577FA4" wp14:editId="48C883FB">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D8757F" w:rsidRPr="00C46BEE" w:rsidRDefault="00D8757F" w:rsidP="00A87D2A">
            <w:pPr>
              <w:pStyle w:val="NormalWeb"/>
              <w:rPr>
                <w:rFonts w:ascii="Arial" w:hAnsi="Arial" w:cs="Arial"/>
                <w:color w:val="6C6361"/>
              </w:rPr>
            </w:pPr>
            <w:r w:rsidRPr="002B311A">
              <w:rPr>
                <w:rFonts w:ascii="Arial" w:hAnsi="Arial" w:cs="Arial"/>
                <w:color w:val="6C6361"/>
              </w:rPr>
              <w:t>Lewis is a practising barrister at Parkside Chambers.  He was called to the Hong Kong Bar in 2005, and worked in a public law litigation team of the Department of Justice prior to joining his current chambers.  He has hands-on experience in judicial review, election petition and other statutory applications of constitutional significance from the perspectives of both advocate and the instructing solicitor.  Lewis obtained his BBA(Law), LLB, PCLL and LLM from The University of Hong Kong, and was a Refugees Status Determination Officer of the United Nations H</w:t>
            </w:r>
            <w:r>
              <w:rPr>
                <w:rFonts w:ascii="Arial" w:hAnsi="Arial" w:cs="Arial"/>
                <w:color w:val="6C6361"/>
              </w:rPr>
              <w:t>igh Commissioner for Refugees.</w:t>
            </w:r>
          </w:p>
        </w:tc>
      </w:tr>
    </w:tbl>
    <w:p w:rsidR="00D8757F" w:rsidRDefault="00D8757F" w:rsidP="00D8757F">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D8757F" w:rsidRPr="00390282" w:rsidTr="00A87D2A">
        <w:trPr>
          <w:trHeight w:val="3702"/>
          <w:jc w:val="center"/>
        </w:trPr>
        <w:tc>
          <w:tcPr>
            <w:tcW w:w="10773" w:type="dxa"/>
            <w:tcBorders>
              <w:top w:val="nil"/>
              <w:bottom w:val="nil"/>
            </w:tcBorders>
            <w:shd w:val="clear" w:color="auto" w:fill="FFFFFF" w:themeFill="background1"/>
            <w:vAlign w:val="center"/>
          </w:tcPr>
          <w:p w:rsidR="00D8757F" w:rsidRPr="00190CB2" w:rsidRDefault="00D8757F" w:rsidP="00A87D2A">
            <w:pPr>
              <w:rPr>
                <w:rFonts w:ascii="Arial" w:hAnsi="Arial" w:cs="Arial"/>
                <w:color w:val="6C6361"/>
                <w:sz w:val="24"/>
                <w:szCs w:val="24"/>
              </w:rPr>
            </w:pPr>
            <w:r w:rsidRPr="00190CB2">
              <w:rPr>
                <w:rFonts w:ascii="Arial" w:hAnsi="Arial" w:cs="Arial"/>
                <w:color w:val="6C6361"/>
                <w:sz w:val="24"/>
                <w:szCs w:val="24"/>
              </w:rPr>
              <w:t xml:space="preserve">The procedures of public law proceedings are </w:t>
            </w:r>
            <w:r w:rsidRPr="00190CB2">
              <w:rPr>
                <w:rFonts w:ascii="Arial" w:hAnsi="Arial" w:cs="Arial"/>
                <w:i/>
                <w:color w:val="6C6361"/>
                <w:sz w:val="24"/>
                <w:szCs w:val="24"/>
              </w:rPr>
              <w:t>sui generis</w:t>
            </w:r>
            <w:r w:rsidRPr="00190CB2">
              <w:rPr>
                <w:rFonts w:ascii="Arial" w:hAnsi="Arial" w:cs="Arial"/>
                <w:color w:val="6C6361"/>
                <w:sz w:val="24"/>
                <w:szCs w:val="24"/>
              </w:rPr>
              <w:t xml:space="preserve">: rules of pleadings do not apply, no process of automatic discovery, cross-examination of witness is less common and costs do not necessarily “follow the event”.  In judicial review, the major form of public law litigations, there is the additional issue of how the </w:t>
            </w:r>
            <w:r w:rsidRPr="00190CB2">
              <w:rPr>
                <w:rFonts w:ascii="Arial" w:hAnsi="Arial" w:cs="Arial"/>
                <w:i/>
                <w:color w:val="6C6361"/>
                <w:sz w:val="24"/>
                <w:szCs w:val="24"/>
              </w:rPr>
              <w:t>ex parte</w:t>
            </w:r>
            <w:r w:rsidRPr="00190CB2">
              <w:rPr>
                <w:rFonts w:ascii="Arial" w:hAnsi="Arial" w:cs="Arial"/>
                <w:color w:val="6C6361"/>
                <w:sz w:val="24"/>
                <w:szCs w:val="24"/>
              </w:rPr>
              <w:t xml:space="preserve"> nature of the leave stage would impact on client’s interest, costs concern and the further development of the proceedings up to substantive hearing.  </w:t>
            </w:r>
          </w:p>
          <w:p w:rsidR="00D8757F" w:rsidRPr="00190CB2" w:rsidRDefault="00D8757F" w:rsidP="00A87D2A">
            <w:pPr>
              <w:rPr>
                <w:rFonts w:ascii="Arial" w:hAnsi="Arial" w:cs="Arial"/>
                <w:color w:val="6C6361"/>
                <w:sz w:val="24"/>
                <w:szCs w:val="24"/>
              </w:rPr>
            </w:pPr>
          </w:p>
          <w:p w:rsidR="00D8757F" w:rsidRPr="00190CB2" w:rsidRDefault="00D8757F" w:rsidP="00A87D2A">
            <w:pPr>
              <w:rPr>
                <w:rFonts w:ascii="Arial" w:hAnsi="Arial" w:cs="Arial"/>
                <w:color w:val="6C6361"/>
                <w:sz w:val="24"/>
                <w:szCs w:val="24"/>
              </w:rPr>
            </w:pPr>
            <w:r w:rsidRPr="00190CB2">
              <w:rPr>
                <w:rFonts w:ascii="Arial" w:hAnsi="Arial" w:cs="Arial"/>
                <w:color w:val="6C6361"/>
                <w:sz w:val="24"/>
                <w:szCs w:val="24"/>
              </w:rPr>
              <w:t xml:space="preserve">In the meantime the number of public law proceedings has been on the rise, and practitioners in different areas such as financial markets, land law or even medical negligence have often found them entangled with procedural issues peculiar to public law.    </w:t>
            </w:r>
          </w:p>
          <w:p w:rsidR="00D8757F" w:rsidRPr="00190CB2" w:rsidRDefault="00D8757F" w:rsidP="00A87D2A">
            <w:pPr>
              <w:rPr>
                <w:rFonts w:ascii="Arial" w:hAnsi="Arial" w:cs="Arial"/>
                <w:color w:val="6C6361"/>
                <w:sz w:val="24"/>
                <w:szCs w:val="24"/>
              </w:rPr>
            </w:pPr>
          </w:p>
          <w:p w:rsidR="00D8757F" w:rsidRPr="00390282" w:rsidRDefault="00D8757F" w:rsidP="00A87D2A">
            <w:pPr>
              <w:rPr>
                <w:rFonts w:ascii="Arial" w:hAnsi="Arial" w:cs="Arial"/>
                <w:b/>
                <w:color w:val="524B48"/>
                <w:sz w:val="24"/>
                <w:szCs w:val="24"/>
              </w:rPr>
            </w:pPr>
            <w:r w:rsidRPr="00190CB2">
              <w:rPr>
                <w:rFonts w:ascii="Arial" w:hAnsi="Arial" w:cs="Arial"/>
                <w:color w:val="6C6361"/>
                <w:sz w:val="24"/>
                <w:szCs w:val="24"/>
              </w:rPr>
              <w:t xml:space="preserve">Lewis will take the participants of this course to various </w:t>
            </w:r>
            <w:r>
              <w:rPr>
                <w:rFonts w:ascii="Arial" w:hAnsi="Arial" w:cs="Arial"/>
                <w:color w:val="6C6361"/>
                <w:sz w:val="24"/>
                <w:szCs w:val="24"/>
              </w:rPr>
              <w:t>distinctive features</w:t>
            </w:r>
            <w:r w:rsidRPr="00190CB2">
              <w:rPr>
                <w:rFonts w:ascii="Arial" w:hAnsi="Arial" w:cs="Arial"/>
                <w:color w:val="6C6361"/>
                <w:sz w:val="24"/>
                <w:szCs w:val="24"/>
              </w:rPr>
              <w:t xml:space="preserve"> of public law proceedings, which are not or less seen in private law proceedings, provide some general guidelines with reference to authorities and his insights into the specific issues identified, to be followed by a discussion.   </w:t>
            </w:r>
          </w:p>
        </w:tc>
      </w:tr>
      <w:tr w:rsidR="00D8757F" w:rsidRPr="00390282" w:rsidTr="00A87D2A">
        <w:trPr>
          <w:trHeight w:val="397"/>
          <w:jc w:val="center"/>
        </w:trPr>
        <w:tc>
          <w:tcPr>
            <w:tcW w:w="10773" w:type="dxa"/>
            <w:tcBorders>
              <w:top w:val="nil"/>
              <w:bottom w:val="nil"/>
            </w:tcBorders>
            <w:shd w:val="clear" w:color="auto" w:fill="F0EBE1"/>
            <w:vAlign w:val="center"/>
          </w:tcPr>
          <w:p w:rsidR="00D8757F" w:rsidRPr="00390282" w:rsidRDefault="00D8757F" w:rsidP="00A87D2A">
            <w:pPr>
              <w:rPr>
                <w:rFonts w:ascii="Arial" w:hAnsi="Arial" w:cs="Arial"/>
                <w:b/>
                <w:color w:val="524B48"/>
                <w:sz w:val="24"/>
                <w:szCs w:val="24"/>
              </w:rPr>
            </w:pPr>
            <w:r>
              <w:rPr>
                <w:rFonts w:ascii="Arial" w:hAnsi="Arial" w:cs="Arial"/>
                <w:b/>
                <w:color w:val="524B48"/>
                <w:sz w:val="24"/>
                <w:szCs w:val="24"/>
              </w:rPr>
              <w:t>The topics will include</w:t>
            </w:r>
            <w:r w:rsidRPr="00390282">
              <w:rPr>
                <w:rFonts w:ascii="Arial" w:hAnsi="Arial" w:cs="Arial"/>
                <w:b/>
                <w:color w:val="524B48"/>
                <w:sz w:val="24"/>
                <w:szCs w:val="24"/>
              </w:rPr>
              <w:t>:</w:t>
            </w:r>
          </w:p>
        </w:tc>
      </w:tr>
      <w:tr w:rsidR="00D8757F" w:rsidRPr="00390282" w:rsidTr="00A87D2A">
        <w:trPr>
          <w:trHeight w:val="3719"/>
          <w:jc w:val="center"/>
        </w:trPr>
        <w:tc>
          <w:tcPr>
            <w:tcW w:w="10773" w:type="dxa"/>
            <w:tcBorders>
              <w:top w:val="nil"/>
              <w:bottom w:val="nil"/>
            </w:tcBorders>
            <w:shd w:val="clear" w:color="auto" w:fill="FFFFFF"/>
            <w:vAlign w:val="center"/>
          </w:tcPr>
          <w:p w:rsidR="00D8757F" w:rsidRPr="00190CB2" w:rsidRDefault="00D8757F" w:rsidP="00A87D2A">
            <w:pPr>
              <w:pStyle w:val="ListParagraph"/>
              <w:numPr>
                <w:ilvl w:val="0"/>
                <w:numId w:val="2"/>
              </w:numPr>
              <w:rPr>
                <w:rFonts w:ascii="Arial" w:hAnsi="Arial" w:cs="Arial"/>
                <w:color w:val="6C6361"/>
                <w:sz w:val="24"/>
                <w:szCs w:val="24"/>
              </w:rPr>
            </w:pPr>
            <w:r w:rsidRPr="00190CB2">
              <w:rPr>
                <w:rFonts w:ascii="Arial" w:hAnsi="Arial" w:cs="Arial"/>
                <w:color w:val="6C6361"/>
                <w:sz w:val="24"/>
                <w:szCs w:val="24"/>
              </w:rPr>
              <w:lastRenderedPageBreak/>
              <w:t>Overview of different forms of public law proceedings</w:t>
            </w:r>
          </w:p>
          <w:p w:rsidR="00D8757F" w:rsidRPr="00190CB2" w:rsidRDefault="00D8757F" w:rsidP="00A87D2A">
            <w:pPr>
              <w:pStyle w:val="ListParagraph"/>
              <w:numPr>
                <w:ilvl w:val="0"/>
                <w:numId w:val="2"/>
              </w:numPr>
              <w:rPr>
                <w:rFonts w:ascii="Arial" w:hAnsi="Arial" w:cs="Arial"/>
                <w:color w:val="6C6361"/>
                <w:sz w:val="24"/>
                <w:szCs w:val="24"/>
              </w:rPr>
            </w:pPr>
            <w:r w:rsidRPr="00190CB2">
              <w:rPr>
                <w:rFonts w:ascii="Arial" w:hAnsi="Arial" w:cs="Arial"/>
                <w:color w:val="6C6361"/>
                <w:sz w:val="24"/>
                <w:szCs w:val="24"/>
              </w:rPr>
              <w:t>Preparation of the originating documents and supporting affidavits</w:t>
            </w:r>
          </w:p>
          <w:p w:rsidR="00D8757F" w:rsidRPr="00190CB2" w:rsidRDefault="00D8757F" w:rsidP="00A87D2A">
            <w:pPr>
              <w:pStyle w:val="ListParagraph"/>
              <w:numPr>
                <w:ilvl w:val="0"/>
                <w:numId w:val="2"/>
              </w:numPr>
              <w:rPr>
                <w:rFonts w:ascii="Arial" w:hAnsi="Arial" w:cs="Arial"/>
                <w:color w:val="6C6361"/>
                <w:sz w:val="24"/>
                <w:szCs w:val="24"/>
              </w:rPr>
            </w:pPr>
            <w:r w:rsidRPr="00190CB2">
              <w:rPr>
                <w:rFonts w:ascii="Arial" w:hAnsi="Arial" w:cs="Arial"/>
                <w:color w:val="6C6361"/>
                <w:sz w:val="24"/>
                <w:szCs w:val="24"/>
              </w:rPr>
              <w:t xml:space="preserve">Practical considerations in making an application for leave to apply for judicial review: </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 xml:space="preserve">Is there any reviewable decision? </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 xml:space="preserve">Have the alternative avenues been exhausted? </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 xml:space="preserve">Does the client have </w:t>
            </w:r>
            <w:r w:rsidRPr="000A2636">
              <w:rPr>
                <w:rFonts w:ascii="Arial" w:hAnsi="Arial" w:cs="Arial" w:hint="eastAsia"/>
                <w:i/>
                <w:color w:val="6C6361"/>
                <w:sz w:val="24"/>
                <w:szCs w:val="24"/>
              </w:rPr>
              <w:t>locus standi</w:t>
            </w:r>
            <w:r w:rsidRPr="00190CB2">
              <w:rPr>
                <w:rFonts w:ascii="Arial" w:hAnsi="Arial" w:cs="Arial" w:hint="eastAsia"/>
                <w:color w:val="6C6361"/>
                <w:sz w:val="24"/>
                <w:szCs w:val="24"/>
              </w:rPr>
              <w:t xml:space="preserve">? </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When is the time bar?</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What relief should be pleaded?</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Should I ask for interim relief?</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Should I ask for protective costs order?</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Should I request a leave hearing if the Court is not minded to grant leave on paper right away?</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What do I expect the Court will do after the filing of Form 86?</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 xml:space="preserve">What do I expect </w:t>
            </w:r>
            <w:r>
              <w:rPr>
                <w:rFonts w:ascii="Arial" w:hAnsi="Arial" w:cs="Arial" w:hint="eastAsia"/>
                <w:color w:val="6C6361"/>
                <w:sz w:val="24"/>
                <w:szCs w:val="24"/>
              </w:rPr>
              <w:t>the Putative Respondent may do?</w:t>
            </w:r>
          </w:p>
        </w:tc>
      </w:tr>
    </w:tbl>
    <w:p w:rsidR="00D8757F" w:rsidRPr="00D8757F" w:rsidRDefault="00D8757F" w:rsidP="00D8757F">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D8757F" w:rsidRPr="00390282" w:rsidTr="00A87D2A">
        <w:trPr>
          <w:trHeight w:val="3827"/>
          <w:jc w:val="center"/>
        </w:trPr>
        <w:tc>
          <w:tcPr>
            <w:tcW w:w="9072" w:type="dxa"/>
            <w:tcBorders>
              <w:top w:val="nil"/>
              <w:bottom w:val="nil"/>
              <w:right w:val="nil"/>
            </w:tcBorders>
            <w:shd w:val="clear" w:color="auto" w:fill="FFFFFF"/>
            <w:vAlign w:val="center"/>
          </w:tcPr>
          <w:p w:rsidR="00D8757F" w:rsidRPr="00190CB2" w:rsidRDefault="00D8757F" w:rsidP="00A87D2A">
            <w:pPr>
              <w:pStyle w:val="ListParagraph"/>
              <w:numPr>
                <w:ilvl w:val="0"/>
                <w:numId w:val="2"/>
              </w:numPr>
              <w:rPr>
                <w:rFonts w:ascii="Arial" w:hAnsi="Arial" w:cs="Arial"/>
                <w:color w:val="6C6361"/>
                <w:sz w:val="24"/>
                <w:szCs w:val="24"/>
              </w:rPr>
            </w:pPr>
            <w:r w:rsidRPr="00190CB2">
              <w:rPr>
                <w:rFonts w:ascii="Arial" w:hAnsi="Arial" w:cs="Arial"/>
                <w:color w:val="6C6361"/>
                <w:sz w:val="24"/>
                <w:szCs w:val="24"/>
              </w:rPr>
              <w:t>Practical considerations on the respondent’s side:</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Should I be proactive in resisting before leave is granted?</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Costs consideration</w:t>
            </w:r>
          </w:p>
          <w:p w:rsidR="00D8757F" w:rsidRPr="00190CB2" w:rsidRDefault="00D8757F" w:rsidP="00A87D2A">
            <w:pPr>
              <w:pStyle w:val="ListParagraph"/>
              <w:numPr>
                <w:ilvl w:val="0"/>
                <w:numId w:val="2"/>
              </w:numPr>
              <w:rPr>
                <w:rFonts w:ascii="Arial" w:hAnsi="Arial" w:cs="Arial"/>
                <w:color w:val="6C6361"/>
                <w:sz w:val="24"/>
                <w:szCs w:val="24"/>
              </w:rPr>
            </w:pPr>
            <w:r w:rsidRPr="00190CB2">
              <w:rPr>
                <w:rFonts w:ascii="Arial" w:hAnsi="Arial" w:cs="Arial"/>
                <w:color w:val="6C6361"/>
                <w:sz w:val="24"/>
                <w:szCs w:val="24"/>
              </w:rPr>
              <w:t>After leave is granted:</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Discovery, duty of candour and public interest immunity</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Application for cross-examination?</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 xml:space="preserve">Preparation of further affidavits </w:t>
            </w:r>
          </w:p>
          <w:p w:rsidR="00D8757F" w:rsidRPr="00190CB2" w:rsidRDefault="00D8757F" w:rsidP="00A87D2A">
            <w:pPr>
              <w:pStyle w:val="ListParagraph"/>
              <w:numPr>
                <w:ilvl w:val="0"/>
                <w:numId w:val="2"/>
              </w:numPr>
              <w:rPr>
                <w:rFonts w:ascii="Arial" w:hAnsi="Arial" w:cs="Arial"/>
                <w:color w:val="6C6361"/>
                <w:sz w:val="24"/>
                <w:szCs w:val="24"/>
              </w:rPr>
            </w:pPr>
            <w:r w:rsidRPr="00190CB2">
              <w:rPr>
                <w:rFonts w:ascii="Arial" w:hAnsi="Arial" w:cs="Arial"/>
                <w:color w:val="6C6361"/>
                <w:sz w:val="24"/>
                <w:szCs w:val="24"/>
              </w:rPr>
              <w:t>Procedural issues of other forms of public law litigations</w:t>
            </w:r>
          </w:p>
          <w:p w:rsidR="00D8757F" w:rsidRPr="00190CB2" w:rsidRDefault="00D8757F" w:rsidP="00A87D2A">
            <w:pPr>
              <w:pStyle w:val="ListParagraph"/>
              <w:numPr>
                <w:ilvl w:val="1"/>
                <w:numId w:val="2"/>
              </w:numPr>
              <w:rPr>
                <w:rFonts w:ascii="Arial" w:hAnsi="Arial" w:cs="Arial"/>
                <w:color w:val="6C6361"/>
                <w:sz w:val="24"/>
                <w:szCs w:val="24"/>
              </w:rPr>
            </w:pPr>
            <w:r>
              <w:rPr>
                <w:rFonts w:ascii="Arial" w:hAnsi="Arial" w:cs="Arial" w:hint="eastAsia"/>
                <w:color w:val="6C6361"/>
                <w:sz w:val="24"/>
                <w:szCs w:val="24"/>
              </w:rPr>
              <w:t xml:space="preserve">Parties - </w:t>
            </w:r>
            <w:r w:rsidRPr="00190CB2">
              <w:rPr>
                <w:rFonts w:ascii="Arial" w:hAnsi="Arial" w:cs="Arial" w:hint="eastAsia"/>
                <w:color w:val="6C6361"/>
                <w:sz w:val="24"/>
                <w:szCs w:val="24"/>
              </w:rPr>
              <w:t>who is the proper respondent?</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What to expect on the 1st call-over date?</w:t>
            </w:r>
          </w:p>
          <w:p w:rsidR="00D8757F" w:rsidRPr="00190CB2" w:rsidRDefault="00D8757F" w:rsidP="00A87D2A">
            <w:pPr>
              <w:pStyle w:val="ListParagraph"/>
              <w:numPr>
                <w:ilvl w:val="1"/>
                <w:numId w:val="2"/>
              </w:numPr>
              <w:rPr>
                <w:rFonts w:ascii="Arial" w:hAnsi="Arial" w:cs="Arial"/>
                <w:color w:val="6C6361"/>
                <w:sz w:val="24"/>
                <w:szCs w:val="24"/>
              </w:rPr>
            </w:pPr>
            <w:r w:rsidRPr="00190CB2">
              <w:rPr>
                <w:rFonts w:ascii="Arial" w:hAnsi="Arial" w:cs="Arial" w:hint="eastAsia"/>
                <w:color w:val="6C6361"/>
                <w:sz w:val="24"/>
                <w:szCs w:val="24"/>
              </w:rPr>
              <w:t>Further procedures</w:t>
            </w:r>
          </w:p>
          <w:p w:rsidR="00D8757F" w:rsidRDefault="00D8757F" w:rsidP="00A87D2A">
            <w:pPr>
              <w:pStyle w:val="ListParagraph"/>
              <w:numPr>
                <w:ilvl w:val="0"/>
                <w:numId w:val="2"/>
              </w:numPr>
              <w:rPr>
                <w:rFonts w:ascii="Arial" w:hAnsi="Arial" w:cs="Arial"/>
                <w:color w:val="6C6361"/>
                <w:sz w:val="24"/>
                <w:szCs w:val="24"/>
              </w:rPr>
            </w:pPr>
            <w:r w:rsidRPr="00190CB2">
              <w:rPr>
                <w:rFonts w:ascii="Arial" w:hAnsi="Arial" w:cs="Arial"/>
                <w:color w:val="6C6361"/>
                <w:sz w:val="24"/>
                <w:szCs w:val="24"/>
              </w:rPr>
              <w:t>Departure from “costs following the event” on ground of public interest</w:t>
            </w:r>
          </w:p>
          <w:p w:rsidR="00D8757F" w:rsidRPr="00190CB2" w:rsidRDefault="00D8757F" w:rsidP="00A87D2A">
            <w:pPr>
              <w:pStyle w:val="ListParagraph"/>
              <w:numPr>
                <w:ilvl w:val="0"/>
                <w:numId w:val="2"/>
              </w:numPr>
              <w:rPr>
                <w:rFonts w:ascii="Arial" w:hAnsi="Arial" w:cs="Arial"/>
                <w:color w:val="6C6361"/>
                <w:sz w:val="24"/>
                <w:szCs w:val="24"/>
              </w:rPr>
            </w:pPr>
            <w:r>
              <w:rPr>
                <w:rFonts w:ascii="Arial" w:hAnsi="Arial" w:cs="Arial"/>
                <w:color w:val="6C6361"/>
                <w:sz w:val="24"/>
                <w:szCs w:val="24"/>
              </w:rPr>
              <w:t>Settlement of public law disputes - Is it possible? How to do it?</w:t>
            </w:r>
          </w:p>
        </w:tc>
        <w:tc>
          <w:tcPr>
            <w:tcW w:w="1701" w:type="dxa"/>
            <w:tcBorders>
              <w:top w:val="nil"/>
              <w:left w:val="nil"/>
              <w:bottom w:val="nil"/>
            </w:tcBorders>
            <w:shd w:val="clear" w:color="auto" w:fill="FFFFFF"/>
            <w:vAlign w:val="center"/>
          </w:tcPr>
          <w:p w:rsidR="00D8757F" w:rsidRDefault="00D8757F" w:rsidP="00A87D2A">
            <w:pPr>
              <w:jc w:val="center"/>
              <w:rPr>
                <w:rFonts w:ascii="Arial" w:hAnsi="Arial" w:cs="Arial"/>
                <w:color w:val="6C6361"/>
                <w:sz w:val="24"/>
                <w:szCs w:val="24"/>
              </w:rPr>
            </w:pPr>
          </w:p>
          <w:p w:rsidR="00D8757F" w:rsidRDefault="00D8757F" w:rsidP="00A87D2A">
            <w:pPr>
              <w:jc w:val="center"/>
              <w:rPr>
                <w:rFonts w:ascii="Arial" w:hAnsi="Arial" w:cs="Arial"/>
                <w:color w:val="6C6361"/>
                <w:sz w:val="24"/>
                <w:szCs w:val="24"/>
              </w:rPr>
            </w:pPr>
          </w:p>
          <w:p w:rsidR="00D8757F" w:rsidRDefault="00D8757F" w:rsidP="00A87D2A">
            <w:pPr>
              <w:jc w:val="center"/>
              <w:rPr>
                <w:rFonts w:ascii="Arial" w:hAnsi="Arial" w:cs="Arial"/>
                <w:color w:val="6C6361"/>
                <w:sz w:val="24"/>
                <w:szCs w:val="24"/>
              </w:rPr>
            </w:pPr>
          </w:p>
          <w:p w:rsidR="00D8757F" w:rsidRDefault="00D8757F" w:rsidP="00A87D2A">
            <w:pPr>
              <w:jc w:val="center"/>
              <w:rPr>
                <w:rFonts w:ascii="Arial" w:hAnsi="Arial" w:cs="Arial"/>
                <w:color w:val="6C6361"/>
                <w:sz w:val="24"/>
                <w:szCs w:val="24"/>
              </w:rPr>
            </w:pPr>
          </w:p>
          <w:p w:rsidR="00D8757F" w:rsidRDefault="00D8757F" w:rsidP="00A87D2A">
            <w:pPr>
              <w:jc w:val="center"/>
              <w:rPr>
                <w:rFonts w:ascii="Arial" w:hAnsi="Arial" w:cs="Arial"/>
                <w:color w:val="6C6361"/>
                <w:sz w:val="24"/>
                <w:szCs w:val="24"/>
              </w:rPr>
            </w:pPr>
          </w:p>
          <w:p w:rsidR="00D8757F" w:rsidRDefault="00D8757F" w:rsidP="00A87D2A">
            <w:pPr>
              <w:jc w:val="center"/>
              <w:rPr>
                <w:rFonts w:ascii="Arial" w:hAnsi="Arial" w:cs="Arial"/>
                <w:color w:val="6C6361"/>
                <w:sz w:val="24"/>
                <w:szCs w:val="24"/>
              </w:rPr>
            </w:pPr>
          </w:p>
          <w:p w:rsidR="00D8757F" w:rsidRDefault="00D8757F" w:rsidP="00A87D2A">
            <w:pPr>
              <w:jc w:val="center"/>
              <w:rPr>
                <w:rFonts w:ascii="Arial" w:hAnsi="Arial" w:cs="Arial"/>
                <w:color w:val="6C6361"/>
                <w:sz w:val="24"/>
                <w:szCs w:val="24"/>
              </w:rPr>
            </w:pPr>
          </w:p>
          <w:p w:rsidR="00D8757F" w:rsidRPr="00190CB2" w:rsidRDefault="00D8757F" w:rsidP="00A87D2A">
            <w:pPr>
              <w:jc w:val="center"/>
              <w:rPr>
                <w:rFonts w:ascii="Arial" w:hAnsi="Arial" w:cs="Arial"/>
                <w:color w:val="6C6361"/>
                <w:sz w:val="24"/>
                <w:szCs w:val="24"/>
              </w:rPr>
            </w:pPr>
            <w:r w:rsidRPr="00CC399D">
              <w:rPr>
                <w:rFonts w:ascii="Arial" w:hAnsi="Arial" w:cs="Arial"/>
                <w:noProof/>
                <w:color w:val="6C6361"/>
                <w:sz w:val="24"/>
                <w:szCs w:val="24"/>
              </w:rPr>
              <w:drawing>
                <wp:inline distT="0" distB="0" distL="0" distR="0" wp14:anchorId="4F7C0003" wp14:editId="63194609">
                  <wp:extent cx="892800" cy="101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D8757F" w:rsidRPr="009E5465" w:rsidRDefault="00D8757F" w:rsidP="00D8757F">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55"/>
        <w:gridCol w:w="1330"/>
      </w:tblGrid>
      <w:tr w:rsidR="00D8757F" w:rsidRPr="00320F79" w:rsidTr="00A87D2A">
        <w:trPr>
          <w:trHeight w:val="397"/>
          <w:jc w:val="center"/>
        </w:trPr>
        <w:tc>
          <w:tcPr>
            <w:tcW w:w="1701" w:type="dxa"/>
            <w:tcBorders>
              <w:top w:val="nil"/>
              <w:left w:val="nil"/>
              <w:bottom w:val="single" w:sz="12" w:space="0" w:color="FFFFFF"/>
            </w:tcBorders>
            <w:shd w:val="clear" w:color="auto" w:fill="F0EBE1"/>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EVT000000086</w:t>
            </w:r>
          </w:p>
        </w:tc>
        <w:tc>
          <w:tcPr>
            <w:tcW w:w="1701" w:type="dxa"/>
            <w:tcBorders>
              <w:top w:val="nil"/>
              <w:bottom w:val="single" w:sz="12" w:space="0" w:color="FFFFFF"/>
            </w:tcBorders>
            <w:shd w:val="clear" w:color="auto" w:fill="F0EBE1"/>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D8757F" w:rsidRPr="00320F79" w:rsidTr="00A87D2A">
        <w:trPr>
          <w:trHeight w:val="397"/>
          <w:jc w:val="center"/>
        </w:trPr>
        <w:tc>
          <w:tcPr>
            <w:tcW w:w="1701" w:type="dxa"/>
            <w:tcBorders>
              <w:top w:val="single" w:sz="12" w:space="0" w:color="FFFFFF"/>
              <w:left w:val="nil"/>
              <w:bottom w:val="single" w:sz="12" w:space="0" w:color="FFFFFF"/>
            </w:tcBorders>
            <w:shd w:val="clear" w:color="auto" w:fill="F0EBE1"/>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21 August</w:t>
            </w:r>
            <w:r w:rsidRPr="00ED694B">
              <w:rPr>
                <w:rFonts w:ascii="Arial" w:hAnsi="Arial" w:cs="Arial"/>
                <w:b/>
                <w:color w:val="6C6361"/>
                <w:sz w:val="20"/>
                <w:szCs w:val="20"/>
              </w:rPr>
              <w:t xml:space="preserve"> 2015 (</w:t>
            </w:r>
            <w:r>
              <w:rPr>
                <w:rFonts w:ascii="Arial" w:hAnsi="Arial" w:cs="Arial"/>
                <w:b/>
                <w:color w:val="6C6361"/>
                <w:sz w:val="20"/>
                <w:szCs w:val="20"/>
              </w:rPr>
              <w:t>Friday</w:t>
            </w:r>
            <w:r w:rsidRPr="00ED694B">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D8757F" w:rsidRPr="00320F79" w:rsidTr="00A87D2A">
        <w:trPr>
          <w:trHeight w:val="397"/>
          <w:jc w:val="center"/>
        </w:trPr>
        <w:tc>
          <w:tcPr>
            <w:tcW w:w="1701" w:type="dxa"/>
            <w:tcBorders>
              <w:top w:val="single" w:sz="12" w:space="0" w:color="FFFFFF"/>
              <w:left w:val="nil"/>
              <w:bottom w:val="single" w:sz="12" w:space="0" w:color="FFFFFF"/>
            </w:tcBorders>
            <w:shd w:val="clear" w:color="auto" w:fill="F0EBE1"/>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D8757F"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D8757F" w:rsidRPr="00773F15"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773F15">
              <w:rPr>
                <w:rFonts w:ascii="Arial" w:hAnsi="Arial" w:cs="Arial"/>
                <w:color w:val="6C6361"/>
                <w:sz w:val="20"/>
                <w:szCs w:val="20"/>
              </w:rPr>
              <w:t>(</w:t>
            </w:r>
            <w:r>
              <w:rPr>
                <w:rFonts w:ascii="Arial" w:hAnsi="Arial" w:cs="Arial"/>
                <w:color w:val="6C6361"/>
                <w:sz w:val="20"/>
                <w:szCs w:val="20"/>
              </w:rPr>
              <w:t xml:space="preserve">LSHK Allocated Number: </w:t>
            </w:r>
            <w:r w:rsidRPr="00773F15">
              <w:rPr>
                <w:rFonts w:ascii="Arial" w:hAnsi="Arial" w:cs="Arial"/>
                <w:color w:val="6C6361"/>
                <w:sz w:val="20"/>
                <w:szCs w:val="20"/>
              </w:rPr>
              <w:t>20152533)</w:t>
            </w:r>
          </w:p>
        </w:tc>
      </w:tr>
      <w:tr w:rsidR="00D8757F" w:rsidRPr="00320F79" w:rsidTr="00A87D2A">
        <w:trPr>
          <w:trHeight w:val="1247"/>
          <w:jc w:val="center"/>
        </w:trPr>
        <w:tc>
          <w:tcPr>
            <w:tcW w:w="1701" w:type="dxa"/>
            <w:tcBorders>
              <w:top w:val="single" w:sz="12" w:space="0" w:color="FFFFFF"/>
              <w:left w:val="nil"/>
              <w:bottom w:val="nil"/>
            </w:tcBorders>
            <w:shd w:val="clear" w:color="auto" w:fill="F0EBE1"/>
            <w:vAlign w:val="center"/>
          </w:tcPr>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D8757F" w:rsidRPr="00320F79" w:rsidRDefault="00D8757F" w:rsidP="00A87D2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D8757F" w:rsidRPr="00320F79"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w:t>
            </w:r>
            <w:r>
              <w:rPr>
                <w:rStyle w:val="Hyperlink"/>
                <w:rFonts w:ascii="Arial" w:hAnsi="Arial" w:cs="Arial"/>
                <w:color w:val="6C6361"/>
                <w:sz w:val="20"/>
                <w:szCs w:val="20"/>
              </w:rPr>
              <w:t xml:space="preserve"> </w:t>
            </w:r>
            <w:r w:rsidRPr="00320F79">
              <w:rPr>
                <w:rStyle w:val="Hyperlink"/>
                <w:rFonts w:ascii="Arial" w:hAnsi="Arial" w:cs="Arial"/>
                <w:color w:val="6C6361"/>
                <w:sz w:val="20"/>
                <w:szCs w:val="20"/>
                <w:u w:val="none"/>
              </w:rPr>
              <w:t xml:space="preserve">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D8757F" w:rsidRDefault="00D8757F" w:rsidP="00A87D2A">
            <w:pPr>
              <w:jc w:val="right"/>
              <w:rPr>
                <w:rFonts w:ascii="Arial" w:hAnsi="Arial" w:cs="Arial"/>
                <w:b/>
                <w:color w:val="6C6361"/>
                <w:sz w:val="20"/>
                <w:szCs w:val="20"/>
              </w:rPr>
            </w:pPr>
          </w:p>
          <w:p w:rsidR="00D8757F" w:rsidRDefault="00D8757F" w:rsidP="00A87D2A">
            <w:pPr>
              <w:jc w:val="right"/>
              <w:rPr>
                <w:rFonts w:ascii="Arial" w:hAnsi="Arial" w:cs="Arial"/>
                <w:b/>
                <w:color w:val="6C6361"/>
                <w:sz w:val="20"/>
                <w:szCs w:val="20"/>
              </w:rPr>
            </w:pPr>
          </w:p>
          <w:p w:rsidR="00D8757F" w:rsidRPr="00320F79" w:rsidRDefault="00D8757F" w:rsidP="00A87D2A">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BA0A408" wp14:editId="3CC19BC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8757F" w:rsidRPr="00E2201B" w:rsidRDefault="00D8757F" w:rsidP="00A87D2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D8757F" w:rsidRPr="003A2A41"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D8757F" w:rsidRPr="003A2A41"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55" w:type="dxa"/>
            <w:tcBorders>
              <w:top w:val="single" w:sz="12" w:space="0" w:color="F0EBE1"/>
              <w:bottom w:val="nil"/>
              <w:right w:val="nil"/>
            </w:tcBorders>
            <w:shd w:val="clear" w:color="auto" w:fill="FFFFFF"/>
            <w:vAlign w:val="center"/>
          </w:tcPr>
          <w:p w:rsidR="00D8757F" w:rsidRPr="003A2A41"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D8757F" w:rsidRPr="003A2A41"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30" w:type="dxa"/>
            <w:tcBorders>
              <w:top w:val="single" w:sz="12" w:space="0" w:color="F0EBE1"/>
              <w:left w:val="nil"/>
              <w:bottom w:val="nil"/>
              <w:right w:val="nil"/>
            </w:tcBorders>
            <w:shd w:val="clear" w:color="auto" w:fill="FFFFFF"/>
            <w:vAlign w:val="center"/>
          </w:tcPr>
          <w:p w:rsidR="00D8757F" w:rsidRPr="00156567" w:rsidRDefault="00D8757F" w:rsidP="00A8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A82D997" wp14:editId="38E2790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D8757F" w:rsidRDefault="00214BC6" w:rsidP="00D8757F"/>
    <w:sectPr w:rsidR="00214BC6" w:rsidRPr="00D8757F"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B5F" w:rsidRDefault="00E52B5F" w:rsidP="00546556">
      <w:r>
        <w:separator/>
      </w:r>
    </w:p>
  </w:endnote>
  <w:endnote w:type="continuationSeparator" w:id="0">
    <w:p w:rsidR="00E52B5F" w:rsidRDefault="00E52B5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B5F" w:rsidRDefault="00E52B5F" w:rsidP="00546556">
      <w:r>
        <w:separator/>
      </w:r>
    </w:p>
  </w:footnote>
  <w:footnote w:type="continuationSeparator" w:id="0">
    <w:p w:rsidR="00E52B5F" w:rsidRDefault="00E52B5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Cy1suuJ030lvDlbSaAd3c/PPbk06KmZGPEkkiDAJIXmcppwHtcjY33ytN1qiTUmlp0joKiDiwnNfsCWDhXoq/Q==" w:salt="okkhSbYQTCOwp0lqx8cuT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C0D"/>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1D3A"/>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8757F"/>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2A5D"/>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5F"/>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803/"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8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70843-DF7C-4D9B-A569-3FCCBB279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CPD Course: The Distinctive Features of Public Law Proceedings</vt:lpstr>
    </vt:vector>
  </TitlesOfParts>
  <Manager>Tyrone Tsang</Manager>
  <Company>The Profectional Company Limited</Company>
  <LinksUpToDate>false</LinksUpToDate>
  <CharactersWithSpaces>3621</CharactersWithSpaces>
  <SharedDoc>false</SharedDoc>
  <HyperlinkBase>http://download.profectional.com/events/EVT000000086.docx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Distinctive Features of Public Law Proceedings</dc:title>
  <dc:subject>CPD Course: The Distinctive Features of Public Law Proceedings</dc:subject>
  <dc:creator>The Profectional Company Limited</dc:creator>
  <cp:keywords>Profectional; Kornerstone; CPD; CPT; CLE; CE; RME; Lewis C.M. Law; Barrister-at-Law; Parkside Chambers</cp:keywords>
  <cp:lastModifiedBy>Tyrone Tsang</cp:lastModifiedBy>
  <cp:revision>13</cp:revision>
  <cp:lastPrinted>2015-08-21T07:35:00Z</cp:lastPrinted>
  <dcterms:created xsi:type="dcterms:W3CDTF">2015-05-28T16:24:00Z</dcterms:created>
  <dcterms:modified xsi:type="dcterms:W3CDTF">2015-08-21T07:36:00Z</dcterms:modified>
</cp:coreProperties>
</file>