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95" w:rsidRPr="00F44B95" w:rsidRDefault="00F44B95" w:rsidP="00F44B95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F44B95" w:rsidRPr="00523A64" w:rsidTr="00445BFB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F44B95" w:rsidRPr="001A3018" w:rsidRDefault="00F44B95" w:rsidP="00445BFB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F44B95" w:rsidRDefault="00F44B95" w:rsidP="00445B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"http://cpd.hk/evt000000089/"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</w:t>
            </w:r>
          </w:p>
          <w:p w:rsidR="00F44B95" w:rsidRDefault="00F44B95" w:rsidP="00445BFB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Privilege</w:t>
            </w:r>
          </w:p>
          <w:p w:rsidR="00F44B95" w:rsidRPr="00C65AFD" w:rsidRDefault="00F44B95" w:rsidP="00445BFB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F44B95" w:rsidRPr="00C65AFD" w:rsidRDefault="00F44B95" w:rsidP="00445BFB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F44B95" w:rsidRPr="00C65AFD" w:rsidRDefault="00F44B95" w:rsidP="00445BFB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&amp; HKMAAL Accredited),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F44B95" w:rsidRPr="00481DC3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F44B95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481DC3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</w:p>
          <w:p w:rsidR="00F44B95" w:rsidRPr="00C65AFD" w:rsidRDefault="00F44B95" w:rsidP="00445BFB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F44B95" w:rsidRPr="00481DC3" w:rsidRDefault="00F44B95" w:rsidP="00445BFB">
            <w:pPr>
              <w:jc w:val="center"/>
              <w:rPr>
                <w:rFonts w:ascii="Arial" w:hAnsi="Arial" w:cs="Arial"/>
                <w:color w:val="6C6361"/>
                <w:sz w:val="4"/>
                <w:szCs w:val="4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F44B95" w:rsidRPr="00D50772" w:rsidRDefault="00F44B95" w:rsidP="00445BFB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B0B85">
              <w:rPr>
                <w:rFonts w:ascii="Arial" w:hAnsi="Arial" w:cs="Arial"/>
                <w:noProof/>
                <w:color w:val="6C6361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F16B076" wp14:editId="747C60E0">
                  <wp:simplePos x="0" y="0"/>
                  <wp:positionH relativeFrom="column">
                    <wp:posOffset>3180080</wp:posOffset>
                  </wp:positionH>
                  <wp:positionV relativeFrom="paragraph">
                    <wp:posOffset>-290195</wp:posOffset>
                  </wp:positionV>
                  <wp:extent cx="539750" cy="546735"/>
                  <wp:effectExtent l="0" t="0" r="0" b="5715"/>
                  <wp:wrapNone/>
                  <wp:docPr id="12" name="Picture 1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29D728D" wp14:editId="4D406AC1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B95" w:rsidRPr="00F44B95" w:rsidRDefault="00F44B95" w:rsidP="00F44B95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F44B95" w:rsidRPr="006F7E99" w:rsidTr="00445BFB">
        <w:trPr>
          <w:trHeight w:val="2665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F44B95" w:rsidRPr="006F7E99" w:rsidRDefault="00F44B95" w:rsidP="00445BFB">
            <w:pPr>
              <w:spacing w:line="276" w:lineRule="auto"/>
              <w:contextualSpacing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6F7E99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 wp14:anchorId="3B4C5EA8" wp14:editId="7BD82620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F44B95" w:rsidRPr="006F7E99" w:rsidRDefault="00F44B95" w:rsidP="00445BFB">
            <w:pPr>
              <w:pStyle w:val="NormalWeb"/>
              <w:contextualSpacing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Mr. </w:t>
            </w:r>
            <w:proofErr w:type="spellStart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Meggitt</w:t>
            </w:r>
            <w:proofErr w:type="spellEnd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F44B95" w:rsidRPr="006F7E99" w:rsidRDefault="00F44B95" w:rsidP="00445BFB">
            <w:pPr>
              <w:pStyle w:val="NormalWeb"/>
              <w:contextualSpacing/>
              <w:rPr>
                <w:rFonts w:ascii="Arial" w:hAnsi="Arial" w:cs="Arial"/>
                <w:color w:val="6C6361"/>
                <w:sz w:val="8"/>
                <w:szCs w:val="8"/>
              </w:rPr>
            </w:pPr>
          </w:p>
          <w:p w:rsidR="00F44B95" w:rsidRPr="006F7E99" w:rsidRDefault="00F44B95" w:rsidP="00445BFB">
            <w:pPr>
              <w:pStyle w:val="NormalWeb"/>
              <w:contextualSpacing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Mr. </w:t>
            </w:r>
            <w:proofErr w:type="spellStart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Meggitt</w:t>
            </w:r>
            <w:proofErr w:type="spellEnd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 teaches civil litigation, commercial disputes resolution and professional practice &amp; management on the PCLL.  He also teaches insurance law on the Faculty's LLM and JD </w:t>
            </w:r>
            <w:proofErr w:type="spellStart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programmes</w:t>
            </w:r>
            <w:proofErr w:type="spellEnd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.  He is a contributing author to 'A Guide to Civil Procedure in Hong Kong' (2015, LexisNexis) and edited 'Civil Justice Reform - What has it achieved?' (2010, Sweet &amp; Maxwell).  Mr. </w:t>
            </w:r>
            <w:proofErr w:type="spellStart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Meggitt</w:t>
            </w:r>
            <w:proofErr w:type="spellEnd"/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 is a member of the Hong Kong Law Society's Insurance Law Committee and its Working Party on Litigation Funding.  He is also a member of the Examining Panel under the Higher Rights of Audience Rules and a former director of the Hong Kong Insurance Law Association.</w:t>
            </w:r>
          </w:p>
        </w:tc>
      </w:tr>
    </w:tbl>
    <w:p w:rsidR="00F44B95" w:rsidRPr="00F44B95" w:rsidRDefault="00F44B95" w:rsidP="00F44B95">
      <w:pPr>
        <w:spacing w:line="276" w:lineRule="auto"/>
        <w:jc w:val="left"/>
        <w:rPr>
          <w:rFonts w:ascii="Arial" w:hAnsi="Arial" w:cs="Arial"/>
          <w:sz w:val="18"/>
          <w:szCs w:val="18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F44B95" w:rsidRPr="006F7E99" w:rsidTr="00445BFB">
        <w:trPr>
          <w:trHeight w:val="28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F44B95" w:rsidRPr="006F7E99" w:rsidRDefault="00F44B95" w:rsidP="00445BFB">
            <w:pPr>
              <w:rPr>
                <w:rFonts w:ascii="Arial" w:hAnsi="Arial" w:cs="Arial"/>
                <w:b/>
                <w:color w:val="524B48"/>
                <w:sz w:val="19"/>
                <w:szCs w:val="19"/>
              </w:rPr>
            </w:pPr>
            <w:r w:rsidRPr="006F7E99">
              <w:rPr>
                <w:rFonts w:ascii="Arial" w:hAnsi="Arial" w:cs="Arial"/>
                <w:b/>
                <w:color w:val="524B48"/>
                <w:sz w:val="19"/>
                <w:szCs w:val="19"/>
              </w:rPr>
              <w:t>This course covers:</w:t>
            </w:r>
          </w:p>
        </w:tc>
      </w:tr>
      <w:tr w:rsidR="00F44B95" w:rsidRPr="006F7E99" w:rsidTr="00445BFB">
        <w:trPr>
          <w:trHeight w:val="3856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44B95" w:rsidRPr="006F7E99" w:rsidRDefault="00F44B95" w:rsidP="00445B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The theory of privilege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An absolute right - </w:t>
            </w:r>
            <w:r w:rsidRPr="006F7E99">
              <w:rPr>
                <w:rFonts w:ascii="Arial" w:hAnsi="Arial" w:cs="Arial"/>
                <w:i/>
                <w:color w:val="6C6361"/>
                <w:sz w:val="19"/>
                <w:szCs w:val="19"/>
              </w:rPr>
              <w:t>R v Derby Magistrates Court ex p B, R (Morgan Grenfell) v Special Commissioner of Income Tax</w:t>
            </w: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 and Article 35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Contrast with confidentiality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Scope</w:t>
            </w:r>
          </w:p>
          <w:p w:rsidR="00F44B95" w:rsidRPr="006F7E99" w:rsidRDefault="00F44B95" w:rsidP="00445B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Legal Advice Privilege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Who is a client - </w:t>
            </w:r>
            <w:r w:rsidRPr="006F7E99">
              <w:rPr>
                <w:rFonts w:ascii="Arial" w:hAnsi="Arial" w:cs="Arial"/>
                <w:i/>
                <w:color w:val="6C6361"/>
                <w:sz w:val="19"/>
                <w:szCs w:val="19"/>
              </w:rPr>
              <w:t>Three Rivers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i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 xml:space="preserve">Who is a 'lawyer'? - </w:t>
            </w:r>
            <w:r w:rsidRPr="006F7E99">
              <w:rPr>
                <w:rFonts w:ascii="Arial" w:hAnsi="Arial" w:cs="Arial"/>
                <w:i/>
                <w:color w:val="6C6361"/>
                <w:sz w:val="19"/>
                <w:szCs w:val="19"/>
              </w:rPr>
              <w:t xml:space="preserve">Prudential v Special Commissioner of Income Tax </w:t>
            </w: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and</w:t>
            </w:r>
            <w:r w:rsidRPr="006F7E99">
              <w:rPr>
                <w:rFonts w:ascii="Arial" w:hAnsi="Arial" w:cs="Arial"/>
                <w:i/>
                <w:color w:val="6C6361"/>
                <w:sz w:val="19"/>
                <w:szCs w:val="19"/>
              </w:rPr>
              <w:t xml:space="preserve"> Allan v Ng Co (a firm)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noProof/>
                <w:color w:val="6C6361"/>
                <w:sz w:val="19"/>
                <w:szCs w:val="19"/>
              </w:rPr>
              <w:drawing>
                <wp:anchor distT="0" distB="0" distL="114300" distR="114300" simplePos="0" relativeHeight="251660288" behindDoc="0" locked="0" layoutInCell="1" allowOverlap="1" wp14:anchorId="2E3B8453" wp14:editId="3C5030CE">
                  <wp:simplePos x="0" y="0"/>
                  <wp:positionH relativeFrom="column">
                    <wp:posOffset>5782310</wp:posOffset>
                  </wp:positionH>
                  <wp:positionV relativeFrom="paragraph">
                    <wp:posOffset>12700</wp:posOffset>
                  </wp:positionV>
                  <wp:extent cx="895985" cy="1022350"/>
                  <wp:effectExtent l="0" t="0" r="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What is 'advice'?</w:t>
            </w:r>
          </w:p>
          <w:p w:rsidR="00F44B95" w:rsidRPr="006F7E99" w:rsidRDefault="00F44B95" w:rsidP="00445B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Litigation privilege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Litigation and dispute resolution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The dominant purpose test</w:t>
            </w:r>
          </w:p>
          <w:p w:rsidR="00F44B95" w:rsidRPr="006F7E99" w:rsidRDefault="00F44B95" w:rsidP="00445BFB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The ‘without prejudice’ doctrine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The theory of 'without prejudice'</w:t>
            </w:r>
          </w:p>
          <w:p w:rsidR="00F44B95" w:rsidRPr="006F7E99" w:rsidRDefault="00F44B95" w:rsidP="00445BFB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19"/>
                <w:szCs w:val="19"/>
              </w:rPr>
            </w:pPr>
            <w:r w:rsidRPr="006F7E99">
              <w:rPr>
                <w:rFonts w:ascii="Arial" w:hAnsi="Arial" w:cs="Arial"/>
                <w:color w:val="6C6361"/>
                <w:sz w:val="19"/>
                <w:szCs w:val="19"/>
              </w:rPr>
              <w:t>Scope and exceptions</w:t>
            </w:r>
          </w:p>
        </w:tc>
      </w:tr>
    </w:tbl>
    <w:p w:rsidR="00F44B95" w:rsidRPr="00F44B95" w:rsidRDefault="00F44B95" w:rsidP="00F44B95">
      <w:pPr>
        <w:spacing w:line="276" w:lineRule="auto"/>
        <w:rPr>
          <w:rFonts w:ascii="Arial" w:hAnsi="Arial" w:cs="Arial"/>
          <w:sz w:val="18"/>
          <w:szCs w:val="18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F44B95" w:rsidRPr="00C135DE" w:rsidTr="00445BFB">
        <w:trPr>
          <w:trHeight w:val="284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bCs/>
                <w:color w:val="6C6361"/>
                <w:sz w:val="18"/>
                <w:szCs w:val="18"/>
              </w:rPr>
              <w:t>EVT000000089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  <w:t>Advanced</w:t>
            </w:r>
          </w:p>
        </w:tc>
      </w:tr>
      <w:tr w:rsidR="00F44B95" w:rsidRPr="00C135DE" w:rsidTr="00445BFB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t>25 September 2015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  <w:t>English</w:t>
            </w:r>
          </w:p>
        </w:tc>
      </w:tr>
      <w:tr w:rsidR="00F44B95" w:rsidRPr="00C135DE" w:rsidTr="00445BFB">
        <w:trPr>
          <w:trHeight w:val="284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t>14:30 - 17:45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color w:val="6C6361"/>
                <w:sz w:val="18"/>
                <w:szCs w:val="18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t>LSHK RME Elective Course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18"/>
                <w:szCs w:val="18"/>
              </w:rPr>
              <w:t xml:space="preserve">3.0 </w:t>
            </w: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t>CPD Points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18"/>
                <w:szCs w:val="18"/>
              </w:rPr>
            </w:pPr>
            <w:r w:rsidRPr="00F83575">
              <w:rPr>
                <w:rFonts w:ascii="Arial" w:hAnsi="Arial" w:cs="Arial"/>
                <w:color w:val="6C6361"/>
                <w:sz w:val="18"/>
                <w:szCs w:val="18"/>
              </w:rPr>
              <w:t>(LSHK Allocated Number: 20152751)</w:t>
            </w:r>
          </w:p>
        </w:tc>
      </w:tr>
      <w:tr w:rsidR="00F44B95" w:rsidRPr="00C135DE" w:rsidTr="00445BFB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C135DE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18"/>
                <w:szCs w:val="18"/>
                <w:u w:val="none"/>
              </w:rPr>
            </w:pP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fldChar w:fldCharType="begin"/>
            </w: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instrText>HYPERLINK "http://goo.gl/maps/DKYQ1"</w:instrText>
            </w: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fldChar w:fldCharType="separate"/>
            </w:r>
            <w:r w:rsidRPr="00C135DE">
              <w:rPr>
                <w:rStyle w:val="Hyperlink"/>
                <w:rFonts w:ascii="Arial" w:hAnsi="Arial" w:cs="Arial"/>
                <w:b/>
                <w:color w:val="6C6361"/>
                <w:sz w:val="18"/>
                <w:szCs w:val="18"/>
                <w:u w:val="none"/>
              </w:rPr>
              <w:t>Kornerstone Institute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</w:pPr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 xml:space="preserve">15/F, Hip </w:t>
            </w:r>
            <w:proofErr w:type="spellStart"/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>Shing</w:t>
            </w:r>
            <w:proofErr w:type="spellEnd"/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 xml:space="preserve"> Hong Centre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</w:pPr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 xml:space="preserve">55 Des </w:t>
            </w:r>
            <w:proofErr w:type="spellStart"/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>Voeux</w:t>
            </w:r>
            <w:proofErr w:type="spellEnd"/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 xml:space="preserve"> Road Central</w:t>
            </w:r>
          </w:p>
          <w:p w:rsidR="00F44B95" w:rsidRPr="00C135DE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  <w:r w:rsidRPr="00C135DE">
              <w:rPr>
                <w:rStyle w:val="Hyperlink"/>
                <w:rFonts w:ascii="Arial" w:hAnsi="Arial" w:cs="Arial"/>
                <w:color w:val="6C6361"/>
                <w:sz w:val="18"/>
                <w:szCs w:val="18"/>
                <w:u w:val="none"/>
              </w:rPr>
              <w:t>Central, Hong Kong</w:t>
            </w:r>
            <w:r w:rsidRPr="00C135DE">
              <w:rPr>
                <w:rFonts w:ascii="Arial" w:hAnsi="Arial" w:cs="Arial"/>
                <w:b/>
                <w:color w:val="6C6361"/>
                <w:sz w:val="18"/>
                <w:szCs w:val="18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44B95" w:rsidRPr="00C135DE" w:rsidRDefault="00F44B95" w:rsidP="00445BFB">
            <w:pPr>
              <w:jc w:val="righ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  <w:r w:rsidRPr="00C135DE">
              <w:rPr>
                <w:rFonts w:ascii="Arial" w:hAnsi="Arial" w:cs="Arial"/>
                <w:b/>
                <w:noProof/>
                <w:color w:val="6C6361"/>
                <w:sz w:val="18"/>
                <w:szCs w:val="18"/>
              </w:rPr>
              <w:drawing>
                <wp:inline distT="0" distB="0" distL="0" distR="0" wp14:anchorId="6B6D21B4" wp14:editId="54B2F28C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4B95" w:rsidRPr="00C135DE" w:rsidRDefault="00F44B95" w:rsidP="00445BFB">
            <w:pPr>
              <w:jc w:val="right"/>
              <w:rPr>
                <w:rFonts w:ascii="Arial" w:hAnsi="Arial" w:cs="Arial"/>
                <w:b/>
                <w:color w:val="6C636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44B95" w:rsidRPr="006C6E29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6C6E29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Request for</w:t>
            </w:r>
          </w:p>
          <w:p w:rsidR="00F44B95" w:rsidRPr="006C6E29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</w:pPr>
            <w:r w:rsidRPr="006C6E29">
              <w:rPr>
                <w:rFonts w:ascii="Arial" w:eastAsia="Times New Roman" w:hAnsi="Arial" w:cs="Arial"/>
                <w:noProof/>
                <w:color w:val="524B48"/>
                <w:sz w:val="18"/>
                <w:szCs w:val="18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44B95" w:rsidRPr="006C6E29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C6E29"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  <w:t xml:space="preserve">Please </w:t>
            </w:r>
            <w:hyperlink r:id="rId16" w:history="1">
              <w:r w:rsidRPr="006C6E29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18"/>
                  <w:szCs w:val="18"/>
                  <w:u w:val="none"/>
                </w:rPr>
                <w:t>Contact Us</w:t>
              </w:r>
            </w:hyperlink>
          </w:p>
          <w:p w:rsidR="00F44B95" w:rsidRPr="006C6E29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6C6E29">
              <w:rPr>
                <w:rFonts w:ascii="Arial" w:eastAsia="Times New Roman" w:hAnsi="Arial" w:cs="Arial"/>
                <w:b/>
                <w:noProof/>
                <w:color w:val="6C6361"/>
                <w:sz w:val="18"/>
                <w:szCs w:val="18"/>
              </w:rPr>
              <w:t>for Details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44B95" w:rsidRPr="001C1D8B" w:rsidRDefault="00F44B95" w:rsidP="00445B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700FBDF2" wp14:editId="26F6EBFF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44B95" w:rsidRDefault="00214BC6" w:rsidP="00F44B95">
      <w:pPr>
        <w:rPr>
          <w:sz w:val="2"/>
          <w:szCs w:val="2"/>
        </w:rPr>
      </w:pPr>
    </w:p>
    <w:sectPr w:rsidR="00214BC6" w:rsidRPr="00F44B95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B71" w:rsidRDefault="00AA4B71" w:rsidP="00546556">
      <w:r>
        <w:separator/>
      </w:r>
    </w:p>
  </w:endnote>
  <w:endnote w:type="continuationSeparator" w:id="0">
    <w:p w:rsidR="00AA4B71" w:rsidRDefault="00AA4B71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B71" w:rsidRDefault="00AA4B71" w:rsidP="00546556">
      <w:r>
        <w:separator/>
      </w:r>
    </w:p>
  </w:footnote>
  <w:footnote w:type="continuationSeparator" w:id="0">
    <w:p w:rsidR="00AA4B71" w:rsidRDefault="00AA4B71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qw2cLuhvuTyQUKu7u98dJ7D79neV7wUXD8Qfnp+w0rHtbr0G2W0+XvGixoZCdt+N0e9v9Fc/V3YZe6Pz57pEdQ==" w:salt="2PYDbw0PboOE2Ojsz0R1A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B71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5563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6C7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4B95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089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4176E-0966-4E4C-AA40-8611D326D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Insurance Law</vt:lpstr>
    </vt:vector>
  </TitlesOfParts>
  <Manager>Tyrone Tsang</Manager>
  <Company>The Profectional Company Limited</Company>
  <LinksUpToDate>false</LinksUpToDate>
  <CharactersWithSpaces>2448</CharactersWithSpaces>
  <SharedDoc>false</SharedDoc>
  <HyperlinkBase>http://download.profectional.com/events/EVT000000089.docx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RME Elective Course: Legal Professional Privilege</dc:title>
  <dc:subject>CPD Course, RME Elective Course: Legal Professional Privilege</dc:subject>
  <dc:creator>The Profectional Company Limited</dc:creator>
  <cp:keywords>Profectional; Kornerstone; CPD; CPT; CLE; CE; RME; Gary Meggitt; MA (Oxon); ACII; MCIArb; Solicitor Advocate; England &amp; Wales; Barrister-at-Law; Lincoln's Inn; Accredited Mediator; CEDR; HKMAAL; Associate Professor; Faculty of Law; The University of Hong Kong</cp:keywords>
  <cp:lastModifiedBy>Tyrone Tsang</cp:lastModifiedBy>
  <cp:revision>9</cp:revision>
  <cp:lastPrinted>2015-09-25T07:00:00Z</cp:lastPrinted>
  <dcterms:created xsi:type="dcterms:W3CDTF">2015-01-21T17:25:00Z</dcterms:created>
  <dcterms:modified xsi:type="dcterms:W3CDTF">2015-09-25T07:00:00Z</dcterms:modified>
</cp:coreProperties>
</file>