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64E" w:rsidRPr="0045364E" w:rsidRDefault="0045364E" w:rsidP="0045364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5364E" w:rsidRPr="00523A64" w:rsidTr="00414E17">
        <w:trPr>
          <w:trHeight w:val="3119"/>
          <w:jc w:val="center"/>
        </w:trPr>
        <w:tc>
          <w:tcPr>
            <w:tcW w:w="4820" w:type="dxa"/>
            <w:shd w:val="clear" w:color="auto" w:fill="FFFFFF"/>
            <w:vAlign w:val="center"/>
          </w:tcPr>
          <w:p w:rsidR="0045364E" w:rsidRPr="005455CF" w:rsidRDefault="0045364E" w:rsidP="00414E17">
            <w:pPr>
              <w:jc w:val="center"/>
              <w:rPr>
                <w:rFonts w:ascii="Arial" w:hAnsi="Arial" w:cs="Arial"/>
                <w:b/>
                <w:bCs/>
                <w:color w:val="524B48"/>
                <w:sz w:val="8"/>
                <w:szCs w:val="8"/>
              </w:rPr>
            </w:pPr>
          </w:p>
          <w:p w:rsidR="0045364E" w:rsidRDefault="0045364E" w:rsidP="00414E17">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"http://cpd.hk/evt000000093/"</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PRC</w:t>
            </w:r>
          </w:p>
          <w:p w:rsidR="0045364E" w:rsidRPr="00B8559C" w:rsidRDefault="0045364E" w:rsidP="00414E1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Investment Law</w:t>
            </w:r>
          </w:p>
          <w:p w:rsidR="0045364E" w:rsidRPr="00B8559C" w:rsidRDefault="0045364E" w:rsidP="00414E17">
            <w:pPr>
              <w:jc w:val="center"/>
              <w:rPr>
                <w:rFonts w:ascii="Arial" w:hAnsi="Arial" w:cs="Arial"/>
                <w:b/>
                <w:bCs/>
                <w:color w:val="524B48"/>
                <w:sz w:val="32"/>
                <w:szCs w:val="32"/>
              </w:rPr>
            </w:pPr>
            <w:r w:rsidRPr="00B8559C">
              <w:rPr>
                <w:rStyle w:val="Hyperlink"/>
                <w:rFonts w:ascii="Arial" w:hAnsi="Arial" w:cs="Arial"/>
                <w:b/>
                <w:bCs/>
                <w:color w:val="524B48"/>
                <w:sz w:val="32"/>
                <w:szCs w:val="32"/>
                <w:u w:val="none"/>
              </w:rPr>
              <w:t xml:space="preserve"> </w:t>
            </w:r>
            <w:r>
              <w:rPr>
                <w:rStyle w:val="Hyperlink"/>
                <w:rFonts w:ascii="Arial" w:hAnsi="Arial" w:cs="Arial"/>
                <w:b/>
                <w:bCs/>
                <w:color w:val="524B48"/>
                <w:sz w:val="32"/>
                <w:szCs w:val="32"/>
                <w:u w:val="none"/>
              </w:rPr>
              <w:t>201</w:t>
            </w:r>
            <w:r w:rsidRPr="00B8559C">
              <w:rPr>
                <w:rFonts w:ascii="Arial" w:hAnsi="Arial" w:cs="Arial"/>
                <w:b/>
                <w:bCs/>
                <w:color w:val="524B48"/>
                <w:sz w:val="32"/>
                <w:szCs w:val="32"/>
              </w:rPr>
              <w:fldChar w:fldCharType="end"/>
            </w:r>
            <w:r>
              <w:rPr>
                <w:rFonts w:ascii="Arial" w:hAnsi="Arial" w:cs="Arial"/>
                <w:b/>
                <w:bCs/>
                <w:color w:val="524B48"/>
                <w:sz w:val="32"/>
                <w:szCs w:val="32"/>
              </w:rPr>
              <w:t>6</w:t>
            </w:r>
          </w:p>
          <w:p w:rsidR="0045364E" w:rsidRPr="00510FE2" w:rsidRDefault="0045364E" w:rsidP="00414E17">
            <w:pPr>
              <w:jc w:val="center"/>
              <w:rPr>
                <w:rFonts w:ascii="Arial" w:hAnsi="Arial" w:cs="Arial"/>
                <w:b/>
                <w:bCs/>
                <w:sz w:val="28"/>
                <w:szCs w:val="28"/>
              </w:rPr>
            </w:pPr>
          </w:p>
          <w:p w:rsidR="0045364E" w:rsidRPr="009D67FA" w:rsidRDefault="0045364E" w:rsidP="00414E17">
            <w:pPr>
              <w:jc w:val="center"/>
              <w:rPr>
                <w:rFonts w:ascii="Arial" w:hAnsi="Arial" w:cs="Arial"/>
                <w:i/>
                <w:color w:val="6C6361"/>
                <w:sz w:val="24"/>
                <w:szCs w:val="24"/>
              </w:rPr>
            </w:pPr>
            <w:r w:rsidRPr="009D67FA">
              <w:rPr>
                <w:rFonts w:ascii="Arial" w:hAnsi="Arial" w:cs="Arial"/>
                <w:i/>
                <w:color w:val="6C6361"/>
                <w:sz w:val="24"/>
                <w:szCs w:val="24"/>
              </w:rPr>
              <w:t>by</w:t>
            </w:r>
          </w:p>
          <w:p w:rsidR="0045364E" w:rsidRPr="00B8559C" w:rsidRDefault="0045364E" w:rsidP="00414E17">
            <w:pPr>
              <w:jc w:val="center"/>
              <w:rPr>
                <w:rFonts w:ascii="Arial" w:hAnsi="Arial" w:cs="Arial"/>
                <w:color w:val="524B48"/>
                <w:sz w:val="24"/>
                <w:szCs w:val="24"/>
              </w:rPr>
            </w:pPr>
            <w:hyperlink r:id="rId8" w:history="1">
              <w:r w:rsidRPr="00AC7DF6">
                <w:rPr>
                  <w:rStyle w:val="Hyperlink"/>
                  <w:rFonts w:ascii="Arial" w:hAnsi="Arial" w:cs="Arial"/>
                  <w:color w:val="6C6361"/>
                  <w:sz w:val="24"/>
                  <w:szCs w:val="24"/>
                  <w:u w:val="none"/>
                </w:rPr>
                <w:t>Prof. Lutz-Christian Wolff</w:t>
              </w:r>
            </w:hyperlink>
            <w:r w:rsidRPr="00B8559C">
              <w:rPr>
                <w:rFonts w:ascii="Arial" w:hAnsi="Arial" w:cs="Arial"/>
                <w:color w:val="524B48"/>
                <w:sz w:val="24"/>
                <w:szCs w:val="24"/>
              </w:rPr>
              <w:t>,</w:t>
            </w:r>
          </w:p>
          <w:p w:rsidR="0045364E" w:rsidRDefault="0045364E" w:rsidP="00414E17">
            <w:pPr>
              <w:jc w:val="center"/>
              <w:rPr>
                <w:rFonts w:ascii="Arial" w:hAnsi="Arial" w:cs="Arial"/>
                <w:color w:val="6C6361"/>
                <w:sz w:val="24"/>
                <w:szCs w:val="24"/>
              </w:rPr>
            </w:pPr>
            <w:r>
              <w:rPr>
                <w:rFonts w:ascii="Arial" w:hAnsi="Arial" w:cs="Arial"/>
                <w:color w:val="6C6361"/>
                <w:sz w:val="24"/>
                <w:szCs w:val="24"/>
              </w:rPr>
              <w:t xml:space="preserve">Wei </w:t>
            </w:r>
            <w:proofErr w:type="spellStart"/>
            <w:r>
              <w:rPr>
                <w:rFonts w:ascii="Arial" w:hAnsi="Arial" w:cs="Arial"/>
                <w:color w:val="6C6361"/>
                <w:sz w:val="24"/>
                <w:szCs w:val="24"/>
              </w:rPr>
              <w:t>Lun</w:t>
            </w:r>
            <w:proofErr w:type="spellEnd"/>
            <w:r>
              <w:rPr>
                <w:rFonts w:ascii="Arial" w:hAnsi="Arial" w:cs="Arial"/>
                <w:color w:val="6C6361"/>
                <w:sz w:val="24"/>
                <w:szCs w:val="24"/>
              </w:rPr>
              <w:t xml:space="preserve"> Professor of </w:t>
            </w:r>
            <w:r w:rsidRPr="00B8559C">
              <w:rPr>
                <w:rFonts w:ascii="Arial" w:hAnsi="Arial" w:cs="Arial"/>
                <w:color w:val="6C6361"/>
                <w:sz w:val="24"/>
                <w:szCs w:val="24"/>
              </w:rPr>
              <w:t>Law</w:t>
            </w:r>
            <w:r>
              <w:rPr>
                <w:rFonts w:ascii="Arial" w:hAnsi="Arial" w:cs="Arial"/>
                <w:color w:val="6C6361"/>
                <w:sz w:val="24"/>
                <w:szCs w:val="24"/>
              </w:rPr>
              <w:t>,</w:t>
            </w:r>
          </w:p>
          <w:p w:rsidR="0045364E" w:rsidRDefault="0045364E" w:rsidP="00414E17">
            <w:pPr>
              <w:jc w:val="center"/>
              <w:rPr>
                <w:rFonts w:ascii="Arial" w:hAnsi="Arial" w:cs="Arial"/>
                <w:color w:val="6C6361"/>
                <w:sz w:val="24"/>
                <w:szCs w:val="24"/>
              </w:rPr>
            </w:pPr>
            <w:r>
              <w:rPr>
                <w:rFonts w:ascii="Arial" w:hAnsi="Arial" w:cs="Arial"/>
                <w:color w:val="6C6361"/>
                <w:sz w:val="24"/>
                <w:szCs w:val="24"/>
              </w:rPr>
              <w:t>Dean, Graduate School,</w:t>
            </w:r>
          </w:p>
          <w:p w:rsidR="0045364E" w:rsidRDefault="0045364E" w:rsidP="00414E17">
            <w:pPr>
              <w:jc w:val="center"/>
              <w:rPr>
                <w:rFonts w:ascii="Arial" w:hAnsi="Arial" w:cs="Arial"/>
                <w:color w:val="6C6361"/>
                <w:sz w:val="24"/>
                <w:szCs w:val="24"/>
              </w:rPr>
            </w:pPr>
            <w:r>
              <w:rPr>
                <w:rFonts w:ascii="Arial" w:hAnsi="Arial" w:cs="Arial"/>
                <w:color w:val="6C6361"/>
                <w:sz w:val="24"/>
                <w:szCs w:val="24"/>
              </w:rPr>
              <w:t xml:space="preserve">The Chinese University of Hong Kong </w:t>
            </w:r>
          </w:p>
          <w:p w:rsidR="0045364E" w:rsidRPr="005455CF" w:rsidRDefault="0045364E" w:rsidP="00414E17">
            <w:pPr>
              <w:jc w:val="center"/>
              <w:rPr>
                <w:rFonts w:ascii="Arial" w:hAnsi="Arial" w:cs="Arial"/>
                <w:color w:val="6C6361"/>
                <w:sz w:val="8"/>
                <w:szCs w:val="8"/>
              </w:rPr>
            </w:pPr>
          </w:p>
        </w:tc>
        <w:tc>
          <w:tcPr>
            <w:tcW w:w="5954" w:type="dxa"/>
            <w:shd w:val="clear" w:color="auto" w:fill="FFFFFF"/>
            <w:vAlign w:val="center"/>
          </w:tcPr>
          <w:p w:rsidR="0045364E" w:rsidRPr="00D50772" w:rsidRDefault="0045364E" w:rsidP="00414E17">
            <w:pPr>
              <w:spacing w:line="276" w:lineRule="auto"/>
              <w:jc w:val="center"/>
              <w:rPr>
                <w:rFonts w:ascii="Arial" w:eastAsia="Times New Roman" w:hAnsi="Arial" w:cs="Arial"/>
                <w:noProof/>
                <w:sz w:val="20"/>
                <w:szCs w:val="20"/>
              </w:rPr>
            </w:pPr>
            <w:r w:rsidRPr="006603DF">
              <w:rPr>
                <w:rFonts w:ascii="Arial" w:hAnsi="Arial" w:cs="Arial"/>
                <w:noProof/>
                <w:color w:val="6C6361"/>
                <w:sz w:val="24"/>
                <w:szCs w:val="24"/>
              </w:rPr>
              <w:drawing>
                <wp:anchor distT="0" distB="0" distL="114300" distR="114300" simplePos="0" relativeHeight="251659264" behindDoc="0" locked="0" layoutInCell="1" allowOverlap="1" wp14:anchorId="27E17E6B" wp14:editId="10BB9708">
                  <wp:simplePos x="0" y="0"/>
                  <wp:positionH relativeFrom="column">
                    <wp:posOffset>3175635</wp:posOffset>
                  </wp:positionH>
                  <wp:positionV relativeFrom="paragraph">
                    <wp:posOffset>-59055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79DBE50" wp14:editId="499AC393">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5364E" w:rsidRPr="005F5716" w:rsidRDefault="0045364E" w:rsidP="0045364E">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45364E" w:rsidRPr="007A44EC" w:rsidTr="00414E17">
        <w:trPr>
          <w:trHeight w:val="2552"/>
          <w:jc w:val="center"/>
        </w:trPr>
        <w:tc>
          <w:tcPr>
            <w:tcW w:w="1985" w:type="dxa"/>
            <w:shd w:val="clear" w:color="auto" w:fill="FFFFFF"/>
            <w:vAlign w:val="center"/>
          </w:tcPr>
          <w:p w:rsidR="0045364E" w:rsidRPr="007A44EC" w:rsidRDefault="0045364E" w:rsidP="00414E17">
            <w:pPr>
              <w:spacing w:line="276" w:lineRule="auto"/>
              <w:jc w:val="center"/>
              <w:rPr>
                <w:rFonts w:ascii="Arial" w:hAnsi="Arial" w:cs="Arial"/>
              </w:rPr>
            </w:pPr>
            <w:r w:rsidRPr="007A44EC">
              <w:rPr>
                <w:rFonts w:ascii="Arial" w:hAnsi="Arial" w:cs="Arial"/>
                <w:noProof/>
              </w:rPr>
              <w:drawing>
                <wp:inline distT="0" distB="0" distL="0" distR="0" wp14:anchorId="514DC74D" wp14:editId="2FE3BA34">
                  <wp:extent cx="1078705" cy="1438273"/>
                  <wp:effectExtent l="0" t="0" r="0" b="0"/>
                  <wp:docPr id="9"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45364E" w:rsidRPr="002343EF" w:rsidRDefault="0045364E" w:rsidP="00414E17">
            <w:pPr>
              <w:spacing w:line="276" w:lineRule="auto"/>
              <w:rPr>
                <w:rFonts w:ascii="Arial" w:hAnsi="Arial" w:cs="Arial"/>
                <w:color w:val="6C6361"/>
              </w:rPr>
            </w:pPr>
            <w:r w:rsidRPr="002343EF">
              <w:rPr>
                <w:rFonts w:ascii="Arial" w:hAnsi="Arial" w:cs="Arial"/>
                <w:color w:val="6C6361"/>
              </w:rPr>
              <w:t xml:space="preserve">Professor Lutz-Christian Wolff is a Wei </w:t>
            </w:r>
            <w:proofErr w:type="spellStart"/>
            <w:r w:rsidRPr="002343EF">
              <w:rPr>
                <w:rFonts w:ascii="Arial" w:hAnsi="Arial" w:cs="Arial"/>
                <w:color w:val="6C6361"/>
              </w:rPr>
              <w:t>Lun</w:t>
            </w:r>
            <w:proofErr w:type="spellEnd"/>
            <w:r w:rsidRPr="002343EF">
              <w:rPr>
                <w:rFonts w:ascii="Arial" w:hAnsi="Arial" w:cs="Arial"/>
                <w:color w:val="6C6361"/>
              </w:rPr>
              <w:t xml:space="preserve"> Professor of Law and the Dean of the Graduate School of The Chinese University of Hong Kong.  He has studied, worked and conducted research in a number of jurisdictions, including mainland China, Taiwan, and the USA.  He is admitted to practice in England &amp; Wales and in Germany and has been frequently invited to work with law firms and multi-national companies on investment projects in the Greater China region.</w:t>
            </w:r>
          </w:p>
        </w:tc>
      </w:tr>
    </w:tbl>
    <w:p w:rsidR="0045364E" w:rsidRPr="005F5716" w:rsidRDefault="0045364E" w:rsidP="0045364E">
      <w:pPr>
        <w:spacing w:line="276" w:lineRule="auto"/>
        <w:jc w:val="left"/>
        <w:rPr>
          <w:rFonts w:ascii="Arial" w:hAnsi="Arial" w:cs="Arial"/>
          <w:sz w:val="16"/>
          <w:szCs w:val="16"/>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45364E" w:rsidRPr="000F107E" w:rsidTr="00414E17">
        <w:trPr>
          <w:trHeight w:val="2028"/>
          <w:jc w:val="center"/>
        </w:trPr>
        <w:tc>
          <w:tcPr>
            <w:tcW w:w="10773" w:type="dxa"/>
            <w:gridSpan w:val="2"/>
            <w:shd w:val="clear" w:color="auto" w:fill="FFFFFF" w:themeFill="background1"/>
            <w:vAlign w:val="center"/>
          </w:tcPr>
          <w:p w:rsidR="0045364E" w:rsidRPr="000F107E" w:rsidRDefault="0045364E" w:rsidP="00414E17">
            <w:pPr>
              <w:spacing w:line="276" w:lineRule="auto"/>
              <w:rPr>
                <w:rFonts w:ascii="Arial" w:eastAsia="Times New Roman" w:hAnsi="Arial" w:cs="Arial"/>
                <w:color w:val="6C6361"/>
              </w:rPr>
            </w:pPr>
            <w:r w:rsidRPr="000F107E">
              <w:rPr>
                <w:rFonts w:ascii="Arial" w:eastAsia="Times New Roman" w:hAnsi="Arial" w:cs="Arial"/>
                <w:color w:val="6C6361"/>
              </w:rPr>
              <w:t>Mainland China’s investment law system has seen significant changes in recent times which seem to open up new opportunities for foreign investors, but also imply risks which need to be considered carefully.</w:t>
            </w:r>
          </w:p>
          <w:p w:rsidR="0045364E" w:rsidRPr="000F107E" w:rsidRDefault="0045364E" w:rsidP="00414E17">
            <w:pPr>
              <w:spacing w:line="276" w:lineRule="auto"/>
              <w:rPr>
                <w:rFonts w:ascii="Arial" w:eastAsia="Times New Roman" w:hAnsi="Arial" w:cs="Arial"/>
                <w:color w:val="6C6361"/>
                <w:sz w:val="8"/>
                <w:szCs w:val="8"/>
              </w:rPr>
            </w:pPr>
          </w:p>
          <w:p w:rsidR="0045364E" w:rsidRPr="000F107E" w:rsidRDefault="0045364E" w:rsidP="00414E17">
            <w:pPr>
              <w:spacing w:line="276" w:lineRule="auto"/>
              <w:rPr>
                <w:rFonts w:ascii="Arial" w:eastAsia="Times New Roman" w:hAnsi="Arial" w:cs="Arial"/>
                <w:color w:val="6C6361"/>
              </w:rPr>
            </w:pPr>
            <w:r w:rsidRPr="000F107E">
              <w:rPr>
                <w:rFonts w:ascii="Arial" w:eastAsia="Times New Roman" w:hAnsi="Arial" w:cs="Arial"/>
                <w:color w:val="6C6361"/>
              </w:rPr>
              <w:t>This seminar introduces the basics of mainland China’s (inbound) investment law and discusses the latest developments from the viewpoint of foreign investors and their advisors.  It also analyses the potential impact which the enactment of a new ‘PRC Foreign Investment Law’ (published in draft version in January 2015) might have.</w:t>
            </w:r>
          </w:p>
        </w:tc>
      </w:tr>
      <w:tr w:rsidR="0045364E" w:rsidRPr="000F107E" w:rsidTr="00414E17">
        <w:trPr>
          <w:trHeight w:val="340"/>
          <w:jc w:val="center"/>
        </w:trPr>
        <w:tc>
          <w:tcPr>
            <w:tcW w:w="10773" w:type="dxa"/>
            <w:gridSpan w:val="2"/>
            <w:tcBorders>
              <w:top w:val="nil"/>
            </w:tcBorders>
            <w:shd w:val="clear" w:color="auto" w:fill="F0EBE1"/>
            <w:vAlign w:val="center"/>
          </w:tcPr>
          <w:p w:rsidR="0045364E" w:rsidRPr="000F107E" w:rsidRDefault="0045364E" w:rsidP="00414E17">
            <w:pPr>
              <w:spacing w:line="276" w:lineRule="auto"/>
              <w:jc w:val="left"/>
              <w:rPr>
                <w:rFonts w:ascii="Arial" w:hAnsi="Arial" w:cs="Arial"/>
                <w:b/>
                <w:color w:val="524B48"/>
              </w:rPr>
            </w:pPr>
            <w:r w:rsidRPr="000F107E">
              <w:rPr>
                <w:rFonts w:ascii="Arial" w:hAnsi="Arial" w:cs="Arial"/>
                <w:b/>
                <w:color w:val="524B48"/>
              </w:rPr>
              <w:t>Specific topics addressed during the seminar are:</w:t>
            </w:r>
          </w:p>
        </w:tc>
      </w:tr>
      <w:tr w:rsidR="0045364E" w:rsidRPr="000F107E" w:rsidTr="00414E17">
        <w:trPr>
          <w:trHeight w:val="2532"/>
          <w:jc w:val="center"/>
        </w:trPr>
        <w:tc>
          <w:tcPr>
            <w:tcW w:w="5387" w:type="dxa"/>
            <w:tcBorders>
              <w:bottom w:val="nil"/>
              <w:right w:val="nil"/>
            </w:tcBorders>
            <w:shd w:val="clear" w:color="auto" w:fill="FFFFFF"/>
            <w:vAlign w:val="center"/>
          </w:tcPr>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The historical development of mainland China’s investment law and practical consequences</w:t>
            </w:r>
          </w:p>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Structuring foreign investment projects in mainland China</w:t>
            </w:r>
          </w:p>
          <w:p w:rsidR="0045364E" w:rsidRPr="000F107E" w:rsidRDefault="0045364E" w:rsidP="00414E17">
            <w:pPr>
              <w:pStyle w:val="ListParagraph"/>
              <w:numPr>
                <w:ilvl w:val="1"/>
                <w:numId w:val="2"/>
              </w:numPr>
              <w:spacing w:line="276" w:lineRule="auto"/>
              <w:jc w:val="left"/>
              <w:rPr>
                <w:rFonts w:ascii="Arial" w:hAnsi="Arial" w:cs="Arial"/>
                <w:color w:val="6C6361"/>
              </w:rPr>
            </w:pPr>
            <w:r w:rsidRPr="000F107E">
              <w:rPr>
                <w:rFonts w:ascii="Arial" w:hAnsi="Arial" w:cs="Arial"/>
                <w:color w:val="6C6361"/>
              </w:rPr>
              <w:t>Investment vehicles</w:t>
            </w:r>
          </w:p>
          <w:p w:rsidR="0045364E" w:rsidRPr="000F107E" w:rsidRDefault="0045364E" w:rsidP="00414E17">
            <w:pPr>
              <w:pStyle w:val="ListParagraph"/>
              <w:numPr>
                <w:ilvl w:val="1"/>
                <w:numId w:val="2"/>
              </w:numPr>
              <w:spacing w:line="276" w:lineRule="auto"/>
              <w:jc w:val="left"/>
              <w:rPr>
                <w:rFonts w:ascii="Arial" w:hAnsi="Arial" w:cs="Arial"/>
                <w:color w:val="6C6361"/>
              </w:rPr>
            </w:pPr>
            <w:r w:rsidRPr="000F107E">
              <w:rPr>
                <w:rFonts w:ascii="Arial" w:hAnsi="Arial" w:cs="Arial"/>
                <w:color w:val="6C6361"/>
              </w:rPr>
              <w:t xml:space="preserve">Greenfield investments </w:t>
            </w:r>
            <w:proofErr w:type="spellStart"/>
            <w:r w:rsidRPr="000F107E">
              <w:rPr>
                <w:rFonts w:ascii="Arial" w:hAnsi="Arial" w:cs="Arial"/>
                <w:color w:val="6C6361"/>
              </w:rPr>
              <w:t>vs</w:t>
            </w:r>
            <w:proofErr w:type="spellEnd"/>
            <w:r w:rsidRPr="000F107E">
              <w:rPr>
                <w:rFonts w:ascii="Arial" w:hAnsi="Arial" w:cs="Arial"/>
                <w:color w:val="6C6361"/>
              </w:rPr>
              <w:t xml:space="preserve"> M&amp;A</w:t>
            </w:r>
          </w:p>
          <w:p w:rsidR="0045364E" w:rsidRDefault="0045364E" w:rsidP="00414E17">
            <w:pPr>
              <w:pStyle w:val="ListParagraph"/>
              <w:numPr>
                <w:ilvl w:val="1"/>
                <w:numId w:val="2"/>
              </w:numPr>
              <w:spacing w:line="276" w:lineRule="auto"/>
              <w:jc w:val="left"/>
              <w:rPr>
                <w:rFonts w:ascii="Arial" w:hAnsi="Arial" w:cs="Arial"/>
                <w:color w:val="6C6361"/>
              </w:rPr>
            </w:pPr>
            <w:r w:rsidRPr="000F107E">
              <w:rPr>
                <w:rFonts w:ascii="Arial" w:hAnsi="Arial" w:cs="Arial"/>
                <w:color w:val="6C6361"/>
              </w:rPr>
              <w:t>SPV structures</w:t>
            </w:r>
          </w:p>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Governing law</w:t>
            </w:r>
          </w:p>
        </w:tc>
        <w:tc>
          <w:tcPr>
            <w:tcW w:w="5386" w:type="dxa"/>
            <w:tcBorders>
              <w:left w:val="nil"/>
              <w:bottom w:val="nil"/>
            </w:tcBorders>
            <w:shd w:val="clear" w:color="auto" w:fill="FFFFFF"/>
            <w:vAlign w:val="center"/>
          </w:tcPr>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Approval and registration requirements</w:t>
            </w:r>
          </w:p>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Investing in regulated industries</w:t>
            </w:r>
          </w:p>
          <w:p w:rsidR="0045364E" w:rsidRPr="000F107E" w:rsidRDefault="0045364E" w:rsidP="00414E17">
            <w:pPr>
              <w:pStyle w:val="ListParagraph"/>
              <w:numPr>
                <w:ilvl w:val="0"/>
                <w:numId w:val="2"/>
              </w:numPr>
              <w:spacing w:line="276" w:lineRule="auto"/>
              <w:jc w:val="left"/>
              <w:rPr>
                <w:rFonts w:ascii="Arial" w:hAnsi="Arial" w:cs="Arial"/>
                <w:color w:val="6C6361"/>
              </w:rPr>
            </w:pPr>
            <w:r w:rsidRPr="006751DA">
              <w:rPr>
                <w:rFonts w:ascii="Arial" w:hAnsi="Arial" w:cs="Arial"/>
                <w:noProof/>
                <w:color w:val="6C6361"/>
              </w:rPr>
              <w:drawing>
                <wp:anchor distT="0" distB="0" distL="114300" distR="114300" simplePos="0" relativeHeight="251660288" behindDoc="0" locked="0" layoutInCell="1" allowOverlap="0" wp14:anchorId="4E6B1F94" wp14:editId="7EA73D90">
                  <wp:simplePos x="0" y="0"/>
                  <wp:positionH relativeFrom="column">
                    <wp:posOffset>2350770</wp:posOffset>
                  </wp:positionH>
                  <wp:positionV relativeFrom="paragraph">
                    <wp:posOffset>21590</wp:posOffset>
                  </wp:positionV>
                  <wp:extent cx="892175" cy="101854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07E">
              <w:rPr>
                <w:rFonts w:ascii="Arial" w:hAnsi="Arial" w:cs="Arial"/>
                <w:color w:val="6C6361"/>
              </w:rPr>
              <w:t>Merger control law</w:t>
            </w:r>
          </w:p>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State security review</w:t>
            </w:r>
          </w:p>
          <w:p w:rsidR="0045364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Practical problems and dispute resolution</w:t>
            </w:r>
          </w:p>
          <w:p w:rsidR="0045364E" w:rsidRPr="000F107E" w:rsidRDefault="0045364E" w:rsidP="00414E17">
            <w:pPr>
              <w:pStyle w:val="ListParagraph"/>
              <w:numPr>
                <w:ilvl w:val="0"/>
                <w:numId w:val="2"/>
              </w:numPr>
              <w:spacing w:line="276" w:lineRule="auto"/>
              <w:jc w:val="left"/>
              <w:rPr>
                <w:rFonts w:ascii="Arial" w:hAnsi="Arial" w:cs="Arial"/>
                <w:color w:val="6C6361"/>
              </w:rPr>
            </w:pPr>
            <w:r w:rsidRPr="000F107E">
              <w:rPr>
                <w:rFonts w:ascii="Arial" w:hAnsi="Arial" w:cs="Arial"/>
                <w:color w:val="6C6361"/>
              </w:rPr>
              <w:t>The draft ‘PRC Foreign Investment Law’</w:t>
            </w:r>
          </w:p>
        </w:tc>
      </w:tr>
    </w:tbl>
    <w:p w:rsidR="0045364E" w:rsidRPr="005F5716" w:rsidRDefault="0045364E" w:rsidP="0045364E">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55"/>
        <w:gridCol w:w="1330"/>
      </w:tblGrid>
      <w:tr w:rsidR="0045364E" w:rsidRPr="00320F79" w:rsidTr="00414E17">
        <w:trPr>
          <w:trHeight w:val="340"/>
          <w:jc w:val="center"/>
        </w:trPr>
        <w:tc>
          <w:tcPr>
            <w:tcW w:w="1701" w:type="dxa"/>
            <w:tcBorders>
              <w:top w:val="nil"/>
              <w:left w:val="nil"/>
              <w:bottom w:val="single" w:sz="12" w:space="0" w:color="FFFFFF"/>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EVT000000093</w:t>
            </w:r>
          </w:p>
        </w:tc>
        <w:tc>
          <w:tcPr>
            <w:tcW w:w="1701" w:type="dxa"/>
            <w:tcBorders>
              <w:top w:val="nil"/>
              <w:bottom w:val="single" w:sz="12" w:space="0" w:color="FFFFFF"/>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5364E" w:rsidRPr="00320F79" w:rsidTr="00414E17">
        <w:trPr>
          <w:trHeight w:val="340"/>
          <w:jc w:val="center"/>
        </w:trPr>
        <w:tc>
          <w:tcPr>
            <w:tcW w:w="1701" w:type="dxa"/>
            <w:tcBorders>
              <w:top w:val="single" w:sz="12" w:space="0" w:color="FFFFFF"/>
              <w:left w:val="nil"/>
              <w:bottom w:val="single" w:sz="12" w:space="0" w:color="FFFFFF"/>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15 April 2016 (Friday) (Amended)</w:t>
            </w:r>
          </w:p>
        </w:tc>
        <w:tc>
          <w:tcPr>
            <w:tcW w:w="1701" w:type="dxa"/>
            <w:tcBorders>
              <w:top w:val="single" w:sz="12" w:space="0" w:color="FFFFFF"/>
              <w:bottom w:val="single" w:sz="12" w:space="0" w:color="FFFFFF"/>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45364E" w:rsidRPr="00320F79" w:rsidTr="00414E17">
        <w:trPr>
          <w:trHeight w:val="340"/>
          <w:jc w:val="center"/>
        </w:trPr>
        <w:tc>
          <w:tcPr>
            <w:tcW w:w="1701" w:type="dxa"/>
            <w:tcBorders>
              <w:top w:val="single" w:sz="12" w:space="0" w:color="FFFFFF"/>
              <w:left w:val="nil"/>
              <w:bottom w:val="single" w:sz="12" w:space="0" w:color="FFFFFF"/>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5364E"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45364E" w:rsidRPr="00172D74"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172D74">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5364E"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45364E" w:rsidRPr="005F5716"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5F5716">
              <w:rPr>
                <w:rFonts w:ascii="Arial" w:hAnsi="Arial" w:cs="Arial"/>
                <w:color w:val="6C6361"/>
                <w:sz w:val="20"/>
                <w:szCs w:val="20"/>
              </w:rPr>
              <w:t>(LSHK Allocated Number: 20152669)</w:t>
            </w:r>
          </w:p>
          <w:p w:rsidR="0045364E" w:rsidRPr="00B745DB"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45364E" w:rsidRPr="00320F79" w:rsidTr="00414E17">
        <w:trPr>
          <w:trHeight w:val="1247"/>
          <w:jc w:val="center"/>
        </w:trPr>
        <w:tc>
          <w:tcPr>
            <w:tcW w:w="1701" w:type="dxa"/>
            <w:tcBorders>
              <w:top w:val="single" w:sz="12" w:space="0" w:color="FFFFFF"/>
              <w:left w:val="nil"/>
              <w:bottom w:val="nil"/>
            </w:tcBorders>
            <w:shd w:val="clear" w:color="auto" w:fill="F0EBE1"/>
            <w:vAlign w:val="center"/>
          </w:tcPr>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5364E" w:rsidRPr="00320F79" w:rsidRDefault="0045364E" w:rsidP="00414E1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45364E" w:rsidRPr="00320F79"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5364E" w:rsidRDefault="0045364E" w:rsidP="00414E17">
            <w:pPr>
              <w:jc w:val="right"/>
              <w:rPr>
                <w:rFonts w:ascii="Arial" w:hAnsi="Arial" w:cs="Arial"/>
                <w:b/>
                <w:color w:val="6C6361"/>
                <w:sz w:val="20"/>
                <w:szCs w:val="20"/>
              </w:rPr>
            </w:pPr>
          </w:p>
          <w:p w:rsidR="0045364E" w:rsidRDefault="0045364E" w:rsidP="00414E17">
            <w:pPr>
              <w:jc w:val="right"/>
              <w:rPr>
                <w:rFonts w:ascii="Arial" w:hAnsi="Arial" w:cs="Arial"/>
                <w:b/>
                <w:color w:val="6C6361"/>
                <w:sz w:val="20"/>
                <w:szCs w:val="20"/>
              </w:rPr>
            </w:pPr>
          </w:p>
          <w:p w:rsidR="0045364E" w:rsidRPr="00320F79" w:rsidRDefault="0045364E" w:rsidP="00414E17">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0F1C47B" wp14:editId="060B969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5364E" w:rsidRPr="00E2201B" w:rsidRDefault="0045364E" w:rsidP="00414E17">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55" w:type="dxa"/>
            <w:tcBorders>
              <w:top w:val="single" w:sz="12" w:space="0" w:color="F0EBE1"/>
              <w:bottom w:val="nil"/>
              <w:right w:val="nil"/>
            </w:tcBorders>
            <w:shd w:val="clear" w:color="auto" w:fill="FFFFFF"/>
            <w:vAlign w:val="center"/>
          </w:tcPr>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5364E" w:rsidRPr="003A2A41"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30" w:type="dxa"/>
            <w:tcBorders>
              <w:top w:val="nil"/>
              <w:left w:val="nil"/>
              <w:bottom w:val="nil"/>
              <w:right w:val="nil"/>
            </w:tcBorders>
            <w:shd w:val="clear" w:color="auto" w:fill="FFFFFF"/>
            <w:vAlign w:val="center"/>
          </w:tcPr>
          <w:p w:rsidR="0045364E" w:rsidRPr="00156567" w:rsidRDefault="0045364E" w:rsidP="00414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59D456D" wp14:editId="7D7D11E7">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5364E" w:rsidRDefault="00214BC6" w:rsidP="0045364E">
      <w:pPr>
        <w:rPr>
          <w:sz w:val="2"/>
          <w:szCs w:val="2"/>
        </w:rPr>
      </w:pPr>
    </w:p>
    <w:sectPr w:rsidR="00214BC6" w:rsidRPr="0045364E"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1E0" w:rsidRDefault="006561E0" w:rsidP="00546556">
      <w:r>
        <w:separator/>
      </w:r>
    </w:p>
  </w:endnote>
  <w:endnote w:type="continuationSeparator" w:id="0">
    <w:p w:rsidR="006561E0" w:rsidRDefault="006561E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1E0" w:rsidRDefault="006561E0" w:rsidP="00546556">
      <w:r>
        <w:separator/>
      </w:r>
    </w:p>
  </w:footnote>
  <w:footnote w:type="continuationSeparator" w:id="0">
    <w:p w:rsidR="006561E0" w:rsidRDefault="006561E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itU22ILE4Qh6GhUXXTGOWiOc+XmUpbDGv/faiGESFa/PWGeEylz4cw9KOoMiq3jTFlTOIvlnbLhKgtmKDweN3Q==" w:salt="04mr7XRxrfC6fd1u18vHA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64E"/>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1E0"/>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405"/>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370F"/>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3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177D8-9146-4457-BA82-254A9EA8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CPD Course, CPT Course: The New Companies Ordinance (Cap.622): Questions From a Company Secretary</vt:lpstr>
    </vt:vector>
  </TitlesOfParts>
  <Manager>Tyrone Tsang</Manager>
  <Company>The Profectional Company Limited</Company>
  <LinksUpToDate>false</LinksUpToDate>
  <CharactersWithSpaces>2223</CharactersWithSpaces>
  <SharedDoc>false</SharedDoc>
  <HyperlinkBase>http://download.profectional.com/events/EVT000000093.docx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PRC Investment Law 2016</dc:title>
  <dc:subject>CPD Course, CPT Course: PRC Investment Law 2016</dc:subject>
  <dc:creator>The Profectional Company Limited</dc:creator>
  <cp:keywords>Profectional; Kornerstone; CPD; CPT; CLE; CE; RME; Lutz-Christian Wolff; Wei Lun Professor of Law; Dean; Graduate School; The Chinese University of Hong Kong</cp:keywords>
  <cp:lastModifiedBy>Tyrone Tsang</cp:lastModifiedBy>
  <cp:revision>12</cp:revision>
  <cp:lastPrinted>2016-04-14T14:12:00Z</cp:lastPrinted>
  <dcterms:created xsi:type="dcterms:W3CDTF">2015-08-21T08:33:00Z</dcterms:created>
  <dcterms:modified xsi:type="dcterms:W3CDTF">2016-04-14T14:13:00Z</dcterms:modified>
</cp:coreProperties>
</file>