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B18" w:rsidRPr="00071B18" w:rsidRDefault="00071B18" w:rsidP="00071B1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71B18" w:rsidRPr="00523A64" w:rsidTr="00814A11">
        <w:trPr>
          <w:trHeight w:val="3119"/>
          <w:jc w:val="center"/>
        </w:trPr>
        <w:tc>
          <w:tcPr>
            <w:tcW w:w="4820" w:type="dxa"/>
            <w:shd w:val="clear" w:color="auto" w:fill="FFFFFF"/>
            <w:vAlign w:val="center"/>
          </w:tcPr>
          <w:p w:rsidR="00071B18" w:rsidRPr="001A3018" w:rsidRDefault="00071B18" w:rsidP="00814A11">
            <w:pPr>
              <w:jc w:val="center"/>
              <w:rPr>
                <w:rFonts w:ascii="Arial" w:hAnsi="Arial" w:cs="Arial"/>
                <w:b/>
                <w:bCs/>
                <w:color w:val="524B48"/>
                <w:sz w:val="4"/>
                <w:szCs w:val="4"/>
              </w:rPr>
            </w:pPr>
          </w:p>
          <w:p w:rsidR="00071B18" w:rsidRDefault="00071B18" w:rsidP="00814A11">
            <w:pPr>
              <w:jc w:val="center"/>
              <w:rPr>
                <w:rStyle w:val="Hyperlink"/>
                <w:rFonts w:ascii="Arial" w:hAnsi="Arial" w:cs="Arial"/>
                <w:b/>
                <w:bCs/>
                <w:color w:val="524B48"/>
                <w:sz w:val="32"/>
                <w:szCs w:val="32"/>
                <w:u w:val="none"/>
              </w:rPr>
            </w:pPr>
            <w:r w:rsidRPr="00CF685C">
              <w:fldChar w:fldCharType="begin"/>
            </w:r>
            <w:r>
              <w:instrText>HYPERLINK "http://cpd.hk/evt000000098/"</w:instrText>
            </w:r>
            <w:r w:rsidRPr="00CF685C">
              <w:fldChar w:fldCharType="separate"/>
            </w:r>
            <w:r>
              <w:rPr>
                <w:rStyle w:val="Hyperlink"/>
                <w:rFonts w:ascii="Arial" w:hAnsi="Arial" w:cs="Arial"/>
                <w:b/>
                <w:bCs/>
                <w:color w:val="524B48"/>
                <w:sz w:val="32"/>
                <w:szCs w:val="32"/>
                <w:u w:val="none"/>
              </w:rPr>
              <w:t>Trade Mark Challenges</w:t>
            </w:r>
          </w:p>
          <w:p w:rsidR="00071B18" w:rsidRDefault="00071B18" w:rsidP="00814A1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Opportunities</w:t>
            </w:r>
          </w:p>
          <w:p w:rsidR="00071B18" w:rsidRDefault="00071B18" w:rsidP="00814A1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Times of</w:t>
            </w:r>
          </w:p>
          <w:p w:rsidR="00071B18" w:rsidRDefault="00071B18" w:rsidP="00814A1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Social Media and</w:t>
            </w:r>
          </w:p>
          <w:p w:rsidR="00071B18" w:rsidRPr="00CF685C" w:rsidRDefault="00071B18" w:rsidP="00814A1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Non-Conventional Mark</w:t>
            </w:r>
            <w:r w:rsidRPr="0051550E">
              <w:rPr>
                <w:rStyle w:val="Hyperlink"/>
                <w:rFonts w:ascii="Arial" w:hAnsi="Arial" w:cs="Arial"/>
                <w:b/>
                <w:bCs/>
                <w:color w:val="524B48"/>
                <w:sz w:val="32"/>
                <w:szCs w:val="32"/>
                <w:u w:val="none"/>
              </w:rPr>
              <w:t>s</w:t>
            </w:r>
          </w:p>
          <w:p w:rsidR="00071B18" w:rsidRPr="00C65AFD" w:rsidRDefault="00071B18" w:rsidP="00814A11">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071B18" w:rsidRPr="00C65AFD" w:rsidRDefault="00071B18" w:rsidP="00814A11">
            <w:pPr>
              <w:jc w:val="center"/>
              <w:rPr>
                <w:rFonts w:ascii="Arial" w:hAnsi="Arial" w:cs="Arial"/>
                <w:i/>
                <w:color w:val="6C6361"/>
                <w:sz w:val="24"/>
                <w:szCs w:val="24"/>
              </w:rPr>
            </w:pPr>
            <w:r w:rsidRPr="00C65AFD">
              <w:rPr>
                <w:rFonts w:ascii="Arial" w:hAnsi="Arial" w:cs="Arial"/>
                <w:i/>
                <w:color w:val="6C6361"/>
                <w:sz w:val="24"/>
                <w:szCs w:val="24"/>
              </w:rPr>
              <w:t>by</w:t>
            </w:r>
          </w:p>
          <w:p w:rsidR="00071B18" w:rsidRDefault="00071B18" w:rsidP="00814A11">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Dr. Danny </w:t>
              </w:r>
              <w:proofErr w:type="spellStart"/>
              <w:r>
                <w:rPr>
                  <w:rStyle w:val="Hyperlink"/>
                  <w:rFonts w:ascii="Arial" w:hAnsi="Arial" w:cs="Arial"/>
                  <w:color w:val="6C6361"/>
                  <w:sz w:val="24"/>
                  <w:szCs w:val="24"/>
                  <w:u w:val="none"/>
                </w:rPr>
                <w:t>Friedmann</w:t>
              </w:r>
              <w:proofErr w:type="spellEnd"/>
            </w:hyperlink>
            <w:r>
              <w:rPr>
                <w:rFonts w:ascii="Arial" w:hAnsi="Arial" w:cs="Arial"/>
                <w:color w:val="6C6361"/>
                <w:sz w:val="24"/>
                <w:szCs w:val="24"/>
              </w:rPr>
              <w:t>,</w:t>
            </w:r>
          </w:p>
          <w:p w:rsidR="00071B18" w:rsidRPr="00862A84" w:rsidRDefault="00071B18" w:rsidP="00814A11">
            <w:pPr>
              <w:jc w:val="center"/>
              <w:rPr>
                <w:rFonts w:ascii="Arial" w:hAnsi="Arial" w:cs="Arial"/>
                <w:color w:val="6C6361"/>
                <w:sz w:val="24"/>
                <w:szCs w:val="24"/>
              </w:rPr>
            </w:pPr>
            <w:r w:rsidRPr="00862A84">
              <w:rPr>
                <w:rFonts w:ascii="Arial" w:hAnsi="Arial" w:cs="Arial"/>
                <w:color w:val="6C6361"/>
                <w:sz w:val="24"/>
                <w:szCs w:val="24"/>
              </w:rPr>
              <w:t>PhD, LLM, BBA,</w:t>
            </w:r>
          </w:p>
          <w:p w:rsidR="00071B18" w:rsidRPr="00862A84" w:rsidRDefault="00071B18" w:rsidP="00814A11">
            <w:pPr>
              <w:jc w:val="center"/>
              <w:rPr>
                <w:rFonts w:ascii="Arial" w:hAnsi="Arial" w:cs="Arial"/>
                <w:color w:val="6C6361"/>
                <w:sz w:val="24"/>
                <w:szCs w:val="24"/>
              </w:rPr>
            </w:pPr>
            <w:r w:rsidRPr="00862A84">
              <w:rPr>
                <w:rFonts w:ascii="Arial" w:hAnsi="Arial" w:cs="Arial"/>
                <w:color w:val="6C6361"/>
                <w:sz w:val="24"/>
                <w:szCs w:val="24"/>
              </w:rPr>
              <w:t>Research Associate &amp; Lecturer,</w:t>
            </w:r>
          </w:p>
          <w:p w:rsidR="00071B18" w:rsidRPr="00862A84" w:rsidRDefault="00071B18" w:rsidP="00814A11">
            <w:pPr>
              <w:jc w:val="center"/>
              <w:rPr>
                <w:rFonts w:ascii="Arial" w:hAnsi="Arial" w:cs="Arial"/>
                <w:color w:val="6C6361"/>
                <w:sz w:val="24"/>
                <w:szCs w:val="24"/>
              </w:rPr>
            </w:pPr>
            <w:r w:rsidRPr="00862A84">
              <w:rPr>
                <w:rFonts w:ascii="Arial" w:hAnsi="Arial" w:cs="Arial"/>
                <w:color w:val="6C6361"/>
                <w:sz w:val="24"/>
                <w:szCs w:val="24"/>
              </w:rPr>
              <w:t>Faculty of Law,</w:t>
            </w:r>
          </w:p>
          <w:p w:rsidR="00071B18" w:rsidRPr="00862A84" w:rsidRDefault="00071B18" w:rsidP="00814A11">
            <w:pPr>
              <w:jc w:val="center"/>
              <w:rPr>
                <w:rFonts w:ascii="Arial" w:hAnsi="Arial" w:cs="Arial"/>
                <w:color w:val="6C6361"/>
                <w:sz w:val="24"/>
                <w:szCs w:val="24"/>
              </w:rPr>
            </w:pPr>
            <w:r w:rsidRPr="00862A84">
              <w:rPr>
                <w:rFonts w:ascii="Arial" w:hAnsi="Arial" w:cs="Arial"/>
                <w:color w:val="6C6361"/>
                <w:sz w:val="24"/>
                <w:szCs w:val="24"/>
              </w:rPr>
              <w:t>The Chinese University of Hong Kong,</w:t>
            </w:r>
          </w:p>
          <w:p w:rsidR="00071B18" w:rsidRPr="00862A84" w:rsidRDefault="00071B18" w:rsidP="00814A11">
            <w:pPr>
              <w:jc w:val="center"/>
              <w:rPr>
                <w:rFonts w:ascii="Arial" w:hAnsi="Arial" w:cs="Arial"/>
                <w:color w:val="6C6361"/>
                <w:sz w:val="24"/>
                <w:szCs w:val="24"/>
              </w:rPr>
            </w:pPr>
            <w:r w:rsidRPr="00862A84">
              <w:rPr>
                <w:rFonts w:ascii="Arial" w:hAnsi="Arial" w:cs="Arial"/>
                <w:color w:val="6C6361"/>
                <w:sz w:val="24"/>
                <w:szCs w:val="24"/>
              </w:rPr>
              <w:t>Author, Trademarks and Social Media,</w:t>
            </w:r>
          </w:p>
          <w:p w:rsidR="00071B18" w:rsidRDefault="00071B18" w:rsidP="00814A11">
            <w:pPr>
              <w:jc w:val="center"/>
              <w:rPr>
                <w:rFonts w:ascii="Arial" w:hAnsi="Arial" w:cs="Arial"/>
                <w:color w:val="6C6361"/>
                <w:sz w:val="24"/>
                <w:szCs w:val="24"/>
              </w:rPr>
            </w:pPr>
            <w:r w:rsidRPr="00862A84">
              <w:rPr>
                <w:rFonts w:ascii="Arial" w:hAnsi="Arial" w:cs="Arial"/>
                <w:color w:val="6C6361"/>
                <w:sz w:val="24"/>
                <w:szCs w:val="24"/>
              </w:rPr>
              <w:t xml:space="preserve">Founder &amp; Editor, </w:t>
            </w:r>
            <w:hyperlink r:id="rId9" w:history="1">
              <w:r w:rsidRPr="0071271D">
                <w:rPr>
                  <w:rStyle w:val="Hyperlink"/>
                  <w:rFonts w:ascii="Arial" w:hAnsi="Arial" w:cs="Arial"/>
                  <w:color w:val="6C6361"/>
                  <w:sz w:val="24"/>
                  <w:szCs w:val="24"/>
                  <w:u w:val="none"/>
                </w:rPr>
                <w:t>IP Dragon</w:t>
              </w:r>
            </w:hyperlink>
          </w:p>
          <w:p w:rsidR="00071B18" w:rsidRPr="00862A84" w:rsidRDefault="00071B18" w:rsidP="00814A11">
            <w:pPr>
              <w:jc w:val="center"/>
              <w:rPr>
                <w:rFonts w:ascii="Arial" w:hAnsi="Arial" w:cs="Arial"/>
                <w:color w:val="6C6361"/>
                <w:sz w:val="8"/>
                <w:szCs w:val="8"/>
              </w:rPr>
            </w:pPr>
          </w:p>
        </w:tc>
        <w:tc>
          <w:tcPr>
            <w:tcW w:w="5954" w:type="dxa"/>
            <w:shd w:val="clear" w:color="auto" w:fill="FFFFFF"/>
            <w:vAlign w:val="center"/>
          </w:tcPr>
          <w:p w:rsidR="00071B18" w:rsidRPr="00D50772" w:rsidRDefault="00071B18" w:rsidP="00814A11">
            <w:pPr>
              <w:spacing w:line="276" w:lineRule="auto"/>
              <w:jc w:val="center"/>
              <w:rPr>
                <w:rFonts w:ascii="Arial" w:eastAsia="Times New Roman" w:hAnsi="Arial" w:cs="Arial"/>
                <w:noProof/>
                <w:sz w:val="20"/>
                <w:szCs w:val="20"/>
              </w:rPr>
            </w:pPr>
            <w:r w:rsidRPr="00D61568">
              <w:rPr>
                <w:rFonts w:ascii="Arial" w:eastAsia="Times New Roman" w:hAnsi="Arial" w:cs="Arial"/>
                <w:noProof/>
                <w:sz w:val="20"/>
                <w:szCs w:val="20"/>
              </w:rPr>
              <w:drawing>
                <wp:anchor distT="0" distB="0" distL="114300" distR="114300" simplePos="0" relativeHeight="251659264" behindDoc="0" locked="0" layoutInCell="1" allowOverlap="1" wp14:anchorId="7C6CCB29" wp14:editId="74BAEAFD">
                  <wp:simplePos x="0" y="0"/>
                  <wp:positionH relativeFrom="column">
                    <wp:posOffset>3175000</wp:posOffset>
                  </wp:positionH>
                  <wp:positionV relativeFrom="paragraph">
                    <wp:posOffset>-487045</wp:posOffset>
                  </wp:positionV>
                  <wp:extent cx="539750" cy="546735"/>
                  <wp:effectExtent l="0" t="0" r="0" b="5715"/>
                  <wp:wrapNone/>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1D5D8EE" wp14:editId="43F00764">
                  <wp:extent cx="3657600" cy="1828800"/>
                  <wp:effectExtent l="0" t="0" r="0" b="0"/>
                  <wp:docPr id="3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71B18" w:rsidRDefault="00071B18" w:rsidP="00071B1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71B18" w:rsidRPr="0051550E" w:rsidTr="00814A11">
        <w:trPr>
          <w:trHeight w:val="6644"/>
          <w:jc w:val="center"/>
        </w:trPr>
        <w:tc>
          <w:tcPr>
            <w:tcW w:w="1985" w:type="dxa"/>
            <w:shd w:val="clear" w:color="auto" w:fill="FFFFFF"/>
            <w:vAlign w:val="center"/>
          </w:tcPr>
          <w:p w:rsidR="00071B18" w:rsidRPr="0051550E" w:rsidRDefault="00071B18" w:rsidP="00814A11">
            <w:pPr>
              <w:spacing w:line="276" w:lineRule="auto"/>
              <w:contextualSpacing/>
              <w:jc w:val="center"/>
              <w:rPr>
                <w:rFonts w:ascii="Arial" w:hAnsi="Arial" w:cs="Arial"/>
                <w:sz w:val="24"/>
                <w:szCs w:val="24"/>
              </w:rPr>
            </w:pPr>
            <w:r w:rsidRPr="0051550E">
              <w:rPr>
                <w:rFonts w:ascii="Arial" w:hAnsi="Arial" w:cs="Arial"/>
                <w:noProof/>
                <w:sz w:val="24"/>
                <w:szCs w:val="24"/>
              </w:rPr>
              <w:drawing>
                <wp:inline distT="0" distB="0" distL="0" distR="0" wp14:anchorId="6A585481" wp14:editId="59AEB626">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71B18" w:rsidRPr="00862A84" w:rsidRDefault="00071B18" w:rsidP="00814A11">
            <w:pPr>
              <w:pStyle w:val="NormalWeb"/>
              <w:contextualSpacing/>
              <w:rPr>
                <w:rFonts w:ascii="Arial" w:hAnsi="Arial" w:cs="Arial"/>
                <w:color w:val="6C6361"/>
              </w:rPr>
            </w:pPr>
            <w:r w:rsidRPr="00862A84">
              <w:rPr>
                <w:rFonts w:ascii="Arial" w:hAnsi="Arial" w:cs="Arial"/>
                <w:color w:val="6C6361"/>
              </w:rPr>
              <w:t xml:space="preserve">Dr. </w:t>
            </w:r>
            <w:proofErr w:type="spellStart"/>
            <w:r w:rsidRPr="00862A84">
              <w:rPr>
                <w:rFonts w:ascii="Arial" w:hAnsi="Arial" w:cs="Arial"/>
                <w:color w:val="6C6361"/>
              </w:rPr>
              <w:t>Friedmann</w:t>
            </w:r>
            <w:proofErr w:type="spellEnd"/>
            <w:r w:rsidRPr="00862A84">
              <w:rPr>
                <w:rFonts w:ascii="Arial" w:hAnsi="Arial" w:cs="Arial"/>
                <w:color w:val="6C6361"/>
              </w:rPr>
              <w:t xml:space="preserve"> is an award winning researcher and lecturer of intellectual property law, with a particular interest in international economic law and the intersections between human rights law, intellectual property law, innovation and investment law, trade law and transnational law.</w:t>
            </w:r>
          </w:p>
          <w:p w:rsidR="00071B18" w:rsidRPr="00862A84" w:rsidRDefault="00071B18" w:rsidP="00814A11">
            <w:pPr>
              <w:pStyle w:val="NormalWeb"/>
              <w:contextualSpacing/>
              <w:rPr>
                <w:rFonts w:ascii="Arial" w:hAnsi="Arial" w:cs="Arial"/>
                <w:color w:val="6C6361"/>
              </w:rPr>
            </w:pPr>
          </w:p>
          <w:p w:rsidR="00071B18" w:rsidRPr="00862A84" w:rsidRDefault="00071B18" w:rsidP="00814A11">
            <w:pPr>
              <w:pStyle w:val="NormalWeb"/>
              <w:contextualSpacing/>
              <w:rPr>
                <w:rFonts w:ascii="Arial" w:hAnsi="Arial" w:cs="Arial"/>
                <w:color w:val="6C6361"/>
              </w:rPr>
            </w:pPr>
            <w:r w:rsidRPr="00862A84">
              <w:rPr>
                <w:rFonts w:ascii="Arial" w:hAnsi="Arial" w:cs="Arial"/>
                <w:color w:val="6C6361"/>
              </w:rPr>
              <w:t xml:space="preserve">Before becoming research fellow, lecturer and tutor at CUHK, Danny </w:t>
            </w:r>
            <w:proofErr w:type="spellStart"/>
            <w:r w:rsidRPr="00862A84">
              <w:rPr>
                <w:rFonts w:ascii="Arial" w:hAnsi="Arial" w:cs="Arial"/>
                <w:color w:val="6C6361"/>
              </w:rPr>
              <w:t>Friedmann</w:t>
            </w:r>
            <w:proofErr w:type="spellEnd"/>
            <w:r w:rsidRPr="00862A84">
              <w:rPr>
                <w:rFonts w:ascii="Arial" w:hAnsi="Arial" w:cs="Arial"/>
                <w:color w:val="6C6361"/>
              </w:rPr>
              <w:t xml:space="preserve"> did his PhD at CUHK, and his LLM at the University of Amsterdam.  In his book 'Trademarks and Social Media' he calls for a paradigm shift of the trademark logo, towards algorithmic justice to reconcile the freedom of expression with the protection of the trademark logo, and an abandonment of the safe </w:t>
            </w:r>
            <w:proofErr w:type="spellStart"/>
            <w:r w:rsidRPr="00862A84">
              <w:rPr>
                <w:rFonts w:ascii="Arial" w:hAnsi="Arial" w:cs="Arial"/>
                <w:color w:val="6C6361"/>
              </w:rPr>
              <w:t>harbour</w:t>
            </w:r>
            <w:proofErr w:type="spellEnd"/>
            <w:r w:rsidRPr="00862A84">
              <w:rPr>
                <w:rFonts w:ascii="Arial" w:hAnsi="Arial" w:cs="Arial"/>
                <w:color w:val="6C6361"/>
              </w:rPr>
              <w:t xml:space="preserve"> provisions.  Dr. </w:t>
            </w:r>
            <w:proofErr w:type="spellStart"/>
            <w:r w:rsidRPr="00862A84">
              <w:rPr>
                <w:rFonts w:ascii="Arial" w:hAnsi="Arial" w:cs="Arial"/>
                <w:color w:val="6C6361"/>
              </w:rPr>
              <w:t>Friedmann</w:t>
            </w:r>
            <w:proofErr w:type="spellEnd"/>
            <w:r w:rsidRPr="00862A84">
              <w:rPr>
                <w:rFonts w:ascii="Arial" w:hAnsi="Arial" w:cs="Arial"/>
                <w:color w:val="6C6361"/>
              </w:rPr>
              <w:t xml:space="preserve"> is familiar with both civil and common law systems and has co-taught Intellectual Property and the Law and has taught lawyers about transnational trademark law.</w:t>
            </w:r>
          </w:p>
          <w:p w:rsidR="00071B18" w:rsidRPr="00862A84" w:rsidRDefault="00071B18" w:rsidP="00814A11">
            <w:pPr>
              <w:pStyle w:val="NormalWeb"/>
              <w:contextualSpacing/>
              <w:rPr>
                <w:rFonts w:ascii="Arial" w:hAnsi="Arial" w:cs="Arial"/>
                <w:color w:val="6C6361"/>
              </w:rPr>
            </w:pPr>
          </w:p>
          <w:p w:rsidR="00071B18" w:rsidRPr="0051550E" w:rsidRDefault="00071B18" w:rsidP="00814A11">
            <w:pPr>
              <w:pStyle w:val="NormalWeb"/>
              <w:contextualSpacing/>
              <w:rPr>
                <w:rFonts w:ascii="Arial" w:hAnsi="Arial" w:cs="Arial"/>
                <w:color w:val="6C6361"/>
              </w:rPr>
            </w:pPr>
            <w:r w:rsidRPr="00862A84">
              <w:rPr>
                <w:rFonts w:ascii="Arial" w:hAnsi="Arial" w:cs="Arial"/>
                <w:color w:val="6C6361"/>
              </w:rPr>
              <w:t xml:space="preserve">Dr. </w:t>
            </w:r>
            <w:proofErr w:type="spellStart"/>
            <w:r w:rsidRPr="00862A84">
              <w:rPr>
                <w:rFonts w:ascii="Arial" w:hAnsi="Arial" w:cs="Arial"/>
                <w:color w:val="6C6361"/>
              </w:rPr>
              <w:t>Friedmann</w:t>
            </w:r>
            <w:proofErr w:type="spellEnd"/>
            <w:r w:rsidRPr="00862A84">
              <w:rPr>
                <w:rFonts w:ascii="Arial" w:hAnsi="Arial" w:cs="Arial"/>
                <w:color w:val="6C6361"/>
              </w:rPr>
              <w:t xml:space="preserve"> has authored and co-authored articles and book chapters that have been published in peer-reviewed law journals and books, such as J. INTELL. PROP. L. &amp; P. (Oxford University Press), GRUR </w:t>
            </w:r>
            <w:proofErr w:type="spellStart"/>
            <w:r w:rsidRPr="00862A84">
              <w:rPr>
                <w:rFonts w:ascii="Arial" w:hAnsi="Arial" w:cs="Arial"/>
                <w:color w:val="6C6361"/>
              </w:rPr>
              <w:t>Int</w:t>
            </w:r>
            <w:proofErr w:type="spellEnd"/>
            <w:r w:rsidRPr="00862A84">
              <w:rPr>
                <w:rFonts w:ascii="Arial" w:hAnsi="Arial" w:cs="Arial"/>
                <w:color w:val="6C6361"/>
              </w:rPr>
              <w:t>, BENELUX TRADE MARKS AND DESIGN RIGHTS BULLETIN and KLUWER INTERNATIONAL LAW.  His monograph 'Trademarks and Social Media' will be published with EDWARD ELGAR PUBLISHING in September 2015.  His book chapter on Google and China was quoted by the Advocate General of the CJEU.  His blog, IP Dragon, "gathering, commenting on and sharing information about IP in China to make it more transparent since 2005", is widely read.</w:t>
            </w:r>
          </w:p>
        </w:tc>
      </w:tr>
    </w:tbl>
    <w:p w:rsidR="00071B18" w:rsidRDefault="00071B18" w:rsidP="00071B18">
      <w:pPr>
        <w:spacing w:line="276" w:lineRule="auto"/>
        <w:rPr>
          <w:rFonts w:ascii="Arial" w:hAnsi="Arial" w:cs="Arial"/>
          <w:sz w:val="20"/>
          <w:szCs w:val="20"/>
        </w:rPr>
      </w:pPr>
    </w:p>
    <w:p w:rsidR="00071B18" w:rsidRDefault="00071B18" w:rsidP="00071B18">
      <w:pPr>
        <w:spacing w:line="276" w:lineRule="auto"/>
        <w:rPr>
          <w:rFonts w:ascii="Arial" w:hAnsi="Arial" w:cs="Arial"/>
          <w:sz w:val="20"/>
          <w:szCs w:val="20"/>
        </w:rPr>
      </w:pPr>
    </w:p>
    <w:p w:rsidR="00071B18" w:rsidRDefault="00071B18" w:rsidP="00071B18">
      <w:pPr>
        <w:spacing w:line="276" w:lineRule="auto"/>
        <w:rPr>
          <w:rFonts w:ascii="Arial" w:hAnsi="Arial" w:cs="Arial"/>
          <w:sz w:val="20"/>
          <w:szCs w:val="20"/>
        </w:rPr>
      </w:pPr>
    </w:p>
    <w:p w:rsidR="00071B18" w:rsidRDefault="00071B18" w:rsidP="00071B18">
      <w:pPr>
        <w:spacing w:line="276" w:lineRule="auto"/>
        <w:rPr>
          <w:rFonts w:ascii="Arial" w:hAnsi="Arial" w:cs="Arial"/>
          <w:sz w:val="20"/>
          <w:szCs w:val="20"/>
        </w:rPr>
      </w:pPr>
    </w:p>
    <w:p w:rsidR="00071B18" w:rsidRDefault="00071B18" w:rsidP="00071B18">
      <w:pPr>
        <w:spacing w:line="276" w:lineRule="auto"/>
        <w:rPr>
          <w:rFonts w:ascii="Arial" w:hAnsi="Arial" w:cs="Arial"/>
          <w:sz w:val="20"/>
          <w:szCs w:val="20"/>
        </w:rPr>
      </w:pPr>
    </w:p>
    <w:p w:rsidR="00071B18" w:rsidRDefault="00071B18" w:rsidP="00071B18">
      <w:pPr>
        <w:spacing w:line="276" w:lineRule="auto"/>
        <w:rPr>
          <w:rFonts w:ascii="Arial" w:hAnsi="Arial" w:cs="Arial"/>
          <w:sz w:val="20"/>
          <w:szCs w:val="20"/>
        </w:rPr>
      </w:pPr>
    </w:p>
    <w:p w:rsidR="00071B18" w:rsidRDefault="00071B18" w:rsidP="00071B18">
      <w:pPr>
        <w:spacing w:line="276" w:lineRule="auto"/>
        <w:rPr>
          <w:rFonts w:ascii="Arial" w:hAnsi="Arial" w:cs="Arial"/>
          <w:sz w:val="20"/>
          <w:szCs w:val="20"/>
        </w:rPr>
      </w:pPr>
    </w:p>
    <w:p w:rsidR="00071B18" w:rsidRDefault="00071B18" w:rsidP="00071B18">
      <w:pPr>
        <w:spacing w:line="276" w:lineRule="auto"/>
        <w:rPr>
          <w:rFonts w:ascii="Arial" w:hAnsi="Arial" w:cs="Arial"/>
          <w:sz w:val="20"/>
          <w:szCs w:val="20"/>
        </w:rPr>
      </w:pPr>
    </w:p>
    <w:p w:rsidR="00071B18" w:rsidRDefault="00071B18" w:rsidP="00071B18">
      <w:pPr>
        <w:spacing w:line="276" w:lineRule="auto"/>
        <w:rPr>
          <w:rFonts w:ascii="Arial" w:hAnsi="Arial" w:cs="Arial"/>
          <w:sz w:val="20"/>
          <w:szCs w:val="20"/>
        </w:rPr>
      </w:pPr>
    </w:p>
    <w:p w:rsidR="00071B18" w:rsidRDefault="00071B18" w:rsidP="00071B18">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071B18" w:rsidRPr="00390282" w:rsidTr="00814A11">
        <w:trPr>
          <w:trHeight w:val="454"/>
          <w:jc w:val="center"/>
        </w:trPr>
        <w:tc>
          <w:tcPr>
            <w:tcW w:w="10773" w:type="dxa"/>
            <w:tcBorders>
              <w:top w:val="nil"/>
              <w:bottom w:val="nil"/>
            </w:tcBorders>
            <w:shd w:val="clear" w:color="auto" w:fill="F0EBE1"/>
            <w:vAlign w:val="center"/>
          </w:tcPr>
          <w:p w:rsidR="00071B18" w:rsidRPr="00390282" w:rsidRDefault="00071B18" w:rsidP="00814A11">
            <w:pPr>
              <w:jc w:val="center"/>
              <w:rPr>
                <w:rFonts w:ascii="Arial" w:hAnsi="Arial" w:cs="Arial"/>
                <w:b/>
                <w:color w:val="524B48"/>
                <w:sz w:val="24"/>
                <w:szCs w:val="24"/>
              </w:rPr>
            </w:pPr>
            <w:r>
              <w:rPr>
                <w:rFonts w:ascii="Arial" w:hAnsi="Arial" w:cs="Arial"/>
                <w:b/>
                <w:color w:val="524B48"/>
                <w:sz w:val="24"/>
                <w:szCs w:val="24"/>
              </w:rPr>
              <w:lastRenderedPageBreak/>
              <w:t>Course Objective:</w:t>
            </w:r>
          </w:p>
        </w:tc>
      </w:tr>
      <w:tr w:rsidR="00071B18" w:rsidRPr="00390282" w:rsidTr="00814A11">
        <w:trPr>
          <w:trHeight w:val="4372"/>
          <w:jc w:val="center"/>
        </w:trPr>
        <w:tc>
          <w:tcPr>
            <w:tcW w:w="10773" w:type="dxa"/>
            <w:tcBorders>
              <w:top w:val="nil"/>
              <w:bottom w:val="nil"/>
            </w:tcBorders>
            <w:shd w:val="clear" w:color="auto" w:fill="FFFFFF"/>
            <w:vAlign w:val="center"/>
          </w:tcPr>
          <w:p w:rsidR="00071B18" w:rsidRDefault="00071B18" w:rsidP="00814A11">
            <w:pPr>
              <w:rPr>
                <w:rFonts w:ascii="Arial" w:hAnsi="Arial" w:cs="Arial"/>
                <w:color w:val="6C6361"/>
                <w:sz w:val="24"/>
                <w:szCs w:val="24"/>
              </w:rPr>
            </w:pPr>
            <w:r w:rsidRPr="00862A84">
              <w:rPr>
                <w:rFonts w:ascii="Arial" w:hAnsi="Arial" w:cs="Arial"/>
                <w:color w:val="6C6361"/>
                <w:sz w:val="24"/>
                <w:szCs w:val="24"/>
              </w:rPr>
              <w:t xml:space="preserve">Trade mark law is facing the following challenges and opportunities in the era of social media and non-conventional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w:t>
            </w:r>
          </w:p>
          <w:p w:rsidR="00071B18" w:rsidRPr="00862A84" w:rsidRDefault="00071B18" w:rsidP="00814A11">
            <w:pPr>
              <w:rPr>
                <w:rFonts w:ascii="Arial" w:hAnsi="Arial" w:cs="Arial"/>
                <w:color w:val="6C6361"/>
                <w:sz w:val="12"/>
                <w:szCs w:val="12"/>
              </w:rPr>
            </w:pPr>
          </w:p>
          <w:p w:rsidR="00071B18" w:rsidRPr="00862A84" w:rsidRDefault="00071B18" w:rsidP="00814A11">
            <w:pPr>
              <w:pStyle w:val="ListParagraph"/>
              <w:numPr>
                <w:ilvl w:val="0"/>
                <w:numId w:val="2"/>
              </w:numPr>
              <w:rPr>
                <w:rFonts w:ascii="Arial" w:hAnsi="Arial" w:cs="Arial"/>
                <w:color w:val="6C6361"/>
                <w:sz w:val="24"/>
                <w:szCs w:val="24"/>
              </w:rPr>
            </w:pPr>
            <w:r w:rsidRPr="00862A84">
              <w:rPr>
                <w:rFonts w:ascii="Arial" w:hAnsi="Arial" w:cs="Arial"/>
                <w:color w:val="6C6361"/>
                <w:sz w:val="24"/>
                <w:szCs w:val="24"/>
              </w:rPr>
              <w:t xml:space="preserve">User-generated content, online service providers, such as social media and search engines, can complicate or simplify life for brand/trade mark holders when faced with unauthorized use of their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w:t>
            </w:r>
          </w:p>
          <w:p w:rsidR="00071B18" w:rsidRDefault="00071B18" w:rsidP="00814A11">
            <w:pPr>
              <w:pStyle w:val="ListParagraph"/>
              <w:numPr>
                <w:ilvl w:val="0"/>
                <w:numId w:val="2"/>
              </w:numPr>
              <w:rPr>
                <w:rFonts w:ascii="Arial" w:hAnsi="Arial" w:cs="Arial"/>
                <w:color w:val="6C6361"/>
                <w:sz w:val="24"/>
                <w:szCs w:val="24"/>
              </w:rPr>
            </w:pPr>
            <w:r w:rsidRPr="00862A84">
              <w:rPr>
                <w:rFonts w:ascii="Arial" w:hAnsi="Arial" w:cs="Arial"/>
                <w:color w:val="6C6361"/>
                <w:sz w:val="24"/>
                <w:szCs w:val="24"/>
              </w:rPr>
              <w:t xml:space="preserve">Non-conventional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 xml:space="preserve"> provide brand/trade mark holders with unprecedented opportunities to distinguish brands even in mature markets, but getting them is not an easy task.</w:t>
            </w:r>
          </w:p>
          <w:p w:rsidR="00071B18" w:rsidRPr="00862A84" w:rsidRDefault="00071B18" w:rsidP="00814A11">
            <w:pPr>
              <w:rPr>
                <w:rFonts w:ascii="Arial" w:hAnsi="Arial" w:cs="Arial"/>
                <w:color w:val="6C6361"/>
                <w:sz w:val="12"/>
                <w:szCs w:val="12"/>
              </w:rPr>
            </w:pPr>
          </w:p>
          <w:p w:rsidR="00071B18" w:rsidRPr="00862A84" w:rsidRDefault="00071B18" w:rsidP="00814A11">
            <w:pPr>
              <w:rPr>
                <w:rFonts w:ascii="Arial" w:hAnsi="Arial" w:cs="Arial"/>
                <w:color w:val="6C6361"/>
                <w:sz w:val="24"/>
                <w:szCs w:val="24"/>
              </w:rPr>
            </w:pPr>
            <w:r w:rsidRPr="00862A84">
              <w:rPr>
                <w:rFonts w:ascii="Arial" w:hAnsi="Arial" w:cs="Arial"/>
                <w:color w:val="6C6361"/>
                <w:sz w:val="24"/>
                <w:szCs w:val="24"/>
              </w:rPr>
              <w:t>This course will give an overview of the problems relating to the protection and enforcement of trade marks in social media.  The 'walled garden of social media' phenomenon will be discussed as a solution.</w:t>
            </w:r>
          </w:p>
          <w:p w:rsidR="00071B18" w:rsidRPr="00862A84" w:rsidRDefault="00071B18" w:rsidP="00814A11">
            <w:pPr>
              <w:rPr>
                <w:rFonts w:ascii="Arial" w:hAnsi="Arial" w:cs="Arial"/>
                <w:color w:val="6C6361"/>
                <w:sz w:val="12"/>
                <w:szCs w:val="12"/>
              </w:rPr>
            </w:pPr>
          </w:p>
          <w:p w:rsidR="00071B18" w:rsidRPr="00815CF2" w:rsidRDefault="00071B18" w:rsidP="00814A11">
            <w:pPr>
              <w:rPr>
                <w:rFonts w:ascii="Arial" w:hAnsi="Arial" w:cs="Arial"/>
                <w:color w:val="6C6361"/>
                <w:sz w:val="24"/>
                <w:szCs w:val="24"/>
              </w:rPr>
            </w:pPr>
            <w:r w:rsidRPr="00862A84">
              <w:rPr>
                <w:rFonts w:ascii="Arial" w:hAnsi="Arial" w:cs="Arial"/>
                <w:color w:val="6C6361"/>
                <w:sz w:val="24"/>
                <w:szCs w:val="24"/>
              </w:rPr>
              <w:t xml:space="preserve">Non-conventional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 xml:space="preserve">, such as </w:t>
            </w:r>
            <w:proofErr w:type="spellStart"/>
            <w:r w:rsidRPr="00862A84">
              <w:rPr>
                <w:rFonts w:ascii="Arial" w:hAnsi="Arial" w:cs="Arial"/>
                <w:color w:val="6C6361"/>
                <w:sz w:val="24"/>
                <w:szCs w:val="24"/>
              </w:rPr>
              <w:t>colour</w:t>
            </w:r>
            <w:proofErr w:type="spellEnd"/>
            <w:r w:rsidRPr="00862A84">
              <w:rPr>
                <w:rFonts w:ascii="Arial" w:hAnsi="Arial" w:cs="Arial"/>
                <w:color w:val="6C6361"/>
                <w:sz w:val="24"/>
                <w:szCs w:val="24"/>
              </w:rPr>
              <w:t xml:space="preserve">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 xml:space="preserve">, as three-dimensional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 xml:space="preserve">, sound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 xml:space="preserve">, scent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 xml:space="preserve">, taste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 xml:space="preserve"> and hologram trade mark will be introduced and the problems of getting them registered will also be discussed.</w:t>
            </w:r>
          </w:p>
        </w:tc>
      </w:tr>
    </w:tbl>
    <w:p w:rsidR="00071B18" w:rsidRDefault="00071B18" w:rsidP="00071B18">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071B18" w:rsidRPr="00390282" w:rsidTr="00814A11">
        <w:trPr>
          <w:trHeight w:val="454"/>
          <w:jc w:val="center"/>
        </w:trPr>
        <w:tc>
          <w:tcPr>
            <w:tcW w:w="10773" w:type="dxa"/>
            <w:tcBorders>
              <w:top w:val="nil"/>
              <w:bottom w:val="nil"/>
            </w:tcBorders>
            <w:shd w:val="clear" w:color="auto" w:fill="FFFFFF" w:themeFill="background1"/>
            <w:vAlign w:val="center"/>
          </w:tcPr>
          <w:p w:rsidR="00071B18" w:rsidRPr="00A3664C" w:rsidRDefault="00071B18" w:rsidP="00814A11">
            <w:pPr>
              <w:jc w:val="center"/>
              <w:rPr>
                <w:rFonts w:ascii="Arial" w:hAnsi="Arial" w:cs="Arial"/>
                <w:b/>
                <w:color w:val="6C6361"/>
                <w:sz w:val="24"/>
                <w:szCs w:val="24"/>
              </w:rPr>
            </w:pPr>
            <w:r w:rsidRPr="00A3664C">
              <w:rPr>
                <w:rFonts w:ascii="Arial" w:hAnsi="Arial" w:cs="Arial"/>
                <w:b/>
                <w:color w:val="6C6361"/>
                <w:sz w:val="24"/>
                <w:szCs w:val="24"/>
              </w:rPr>
              <w:t>Course Outline:</w:t>
            </w:r>
          </w:p>
        </w:tc>
      </w:tr>
      <w:tr w:rsidR="00071B18" w:rsidRPr="00390282" w:rsidTr="00814A11">
        <w:trPr>
          <w:trHeight w:val="454"/>
          <w:jc w:val="center"/>
        </w:trPr>
        <w:tc>
          <w:tcPr>
            <w:tcW w:w="10773" w:type="dxa"/>
            <w:tcBorders>
              <w:top w:val="nil"/>
              <w:bottom w:val="nil"/>
            </w:tcBorders>
            <w:shd w:val="clear" w:color="auto" w:fill="F0EBE1"/>
            <w:vAlign w:val="center"/>
          </w:tcPr>
          <w:p w:rsidR="00071B18" w:rsidRPr="00390282" w:rsidRDefault="00071B18" w:rsidP="00814A11">
            <w:pPr>
              <w:rPr>
                <w:rFonts w:ascii="Arial" w:hAnsi="Arial" w:cs="Arial"/>
                <w:b/>
                <w:color w:val="524B48"/>
                <w:sz w:val="24"/>
                <w:szCs w:val="24"/>
              </w:rPr>
            </w:pPr>
            <w:r w:rsidRPr="00862A84">
              <w:rPr>
                <w:rFonts w:ascii="Arial" w:hAnsi="Arial" w:cs="Arial"/>
                <w:b/>
                <w:color w:val="524B48"/>
                <w:sz w:val="24"/>
                <w:szCs w:val="24"/>
              </w:rPr>
              <w:t>In this course you will have an opportunity to:</w:t>
            </w:r>
          </w:p>
        </w:tc>
      </w:tr>
      <w:tr w:rsidR="00071B18" w:rsidRPr="00390282" w:rsidTr="00814A11">
        <w:trPr>
          <w:trHeight w:val="4210"/>
          <w:jc w:val="center"/>
        </w:trPr>
        <w:tc>
          <w:tcPr>
            <w:tcW w:w="10773" w:type="dxa"/>
            <w:tcBorders>
              <w:top w:val="nil"/>
              <w:bottom w:val="nil"/>
            </w:tcBorders>
            <w:shd w:val="clear" w:color="auto" w:fill="FFFFFF"/>
            <w:vAlign w:val="center"/>
          </w:tcPr>
          <w:p w:rsidR="00071B18" w:rsidRPr="00862A84" w:rsidRDefault="00071B18" w:rsidP="00814A11">
            <w:pPr>
              <w:pStyle w:val="ListParagraph"/>
              <w:numPr>
                <w:ilvl w:val="0"/>
                <w:numId w:val="2"/>
              </w:numPr>
              <w:rPr>
                <w:rFonts w:ascii="Arial" w:hAnsi="Arial" w:cs="Arial"/>
                <w:color w:val="6C6361"/>
                <w:sz w:val="24"/>
                <w:szCs w:val="24"/>
              </w:rPr>
            </w:pPr>
            <w:r w:rsidRPr="00862A84">
              <w:rPr>
                <w:rFonts w:ascii="Arial" w:hAnsi="Arial" w:cs="Arial"/>
                <w:color w:val="6C6361"/>
                <w:sz w:val="24"/>
                <w:szCs w:val="24"/>
              </w:rPr>
              <w:t xml:space="preserve">Consider why safe </w:t>
            </w:r>
            <w:proofErr w:type="spellStart"/>
            <w:r w:rsidRPr="00862A84">
              <w:rPr>
                <w:rFonts w:ascii="Arial" w:hAnsi="Arial" w:cs="Arial"/>
                <w:color w:val="6C6361"/>
                <w:sz w:val="24"/>
                <w:szCs w:val="24"/>
              </w:rPr>
              <w:t>harbours</w:t>
            </w:r>
            <w:proofErr w:type="spellEnd"/>
            <w:r w:rsidRPr="00862A84">
              <w:rPr>
                <w:rFonts w:ascii="Arial" w:hAnsi="Arial" w:cs="Arial"/>
                <w:color w:val="6C6361"/>
                <w:sz w:val="24"/>
                <w:szCs w:val="24"/>
              </w:rPr>
              <w:t xml:space="preserve"> that immunize online service providers against copyright and trade mark infringement are ineffective;</w:t>
            </w:r>
          </w:p>
          <w:p w:rsidR="00071B18" w:rsidRPr="00862A84" w:rsidRDefault="00071B18" w:rsidP="00814A11">
            <w:pPr>
              <w:pStyle w:val="ListParagraph"/>
              <w:numPr>
                <w:ilvl w:val="0"/>
                <w:numId w:val="2"/>
              </w:numPr>
              <w:rPr>
                <w:rFonts w:ascii="Arial" w:hAnsi="Arial" w:cs="Arial"/>
                <w:color w:val="6C6361"/>
                <w:sz w:val="24"/>
                <w:szCs w:val="24"/>
              </w:rPr>
            </w:pPr>
            <w:r w:rsidRPr="00862A84">
              <w:rPr>
                <w:rFonts w:ascii="Arial" w:hAnsi="Arial" w:cs="Arial"/>
                <w:color w:val="6C6361"/>
                <w:sz w:val="24"/>
                <w:szCs w:val="24"/>
              </w:rPr>
              <w:t>Consider why strict liability and automatic enforcement is preferable and inevitable in the era of social media;</w:t>
            </w:r>
          </w:p>
          <w:p w:rsidR="00071B18" w:rsidRPr="00862A84" w:rsidRDefault="00071B18" w:rsidP="00814A11">
            <w:pPr>
              <w:pStyle w:val="ListParagraph"/>
              <w:numPr>
                <w:ilvl w:val="0"/>
                <w:numId w:val="2"/>
              </w:numPr>
              <w:rPr>
                <w:rFonts w:ascii="Arial" w:hAnsi="Arial" w:cs="Arial"/>
                <w:color w:val="6C6361"/>
                <w:sz w:val="24"/>
                <w:szCs w:val="24"/>
              </w:rPr>
            </w:pPr>
            <w:r w:rsidRPr="00862A84">
              <w:rPr>
                <w:rFonts w:ascii="Arial" w:hAnsi="Arial" w:cs="Arial"/>
                <w:color w:val="6C6361"/>
                <w:sz w:val="24"/>
                <w:szCs w:val="24"/>
              </w:rPr>
              <w:t>Realize that courts and social media are moving towards that direction, and that higher filter standards are prescribed for online service providers;</w:t>
            </w:r>
          </w:p>
          <w:p w:rsidR="00071B18" w:rsidRPr="00862A84" w:rsidRDefault="00071B18" w:rsidP="00814A11">
            <w:pPr>
              <w:pStyle w:val="ListParagraph"/>
              <w:numPr>
                <w:ilvl w:val="0"/>
                <w:numId w:val="2"/>
              </w:numPr>
              <w:rPr>
                <w:rFonts w:ascii="Arial" w:hAnsi="Arial" w:cs="Arial"/>
                <w:color w:val="6C6361"/>
                <w:sz w:val="24"/>
                <w:szCs w:val="24"/>
              </w:rPr>
            </w:pPr>
            <w:r w:rsidRPr="00862A84">
              <w:rPr>
                <w:rFonts w:ascii="Arial" w:hAnsi="Arial" w:cs="Arial"/>
                <w:color w:val="6C6361"/>
                <w:sz w:val="24"/>
                <w:szCs w:val="24"/>
              </w:rPr>
              <w:t xml:space="preserve">Review the different non-conventional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 xml:space="preserve"> such as </w:t>
            </w:r>
            <w:proofErr w:type="spellStart"/>
            <w:r w:rsidRPr="00862A84">
              <w:rPr>
                <w:rFonts w:ascii="Arial" w:hAnsi="Arial" w:cs="Arial"/>
                <w:color w:val="6C6361"/>
                <w:sz w:val="24"/>
                <w:szCs w:val="24"/>
              </w:rPr>
              <w:t>colour</w:t>
            </w:r>
            <w:proofErr w:type="spellEnd"/>
            <w:r w:rsidRPr="00862A84">
              <w:rPr>
                <w:rFonts w:ascii="Arial" w:hAnsi="Arial" w:cs="Arial"/>
                <w:color w:val="6C6361"/>
                <w:sz w:val="24"/>
                <w:szCs w:val="24"/>
              </w:rPr>
              <w:t xml:space="preserve"> marks, three-dimensional marks, sound, taste and scent marks;</w:t>
            </w:r>
          </w:p>
          <w:p w:rsidR="00071B18" w:rsidRPr="00862A84" w:rsidRDefault="00071B18" w:rsidP="00814A11">
            <w:pPr>
              <w:pStyle w:val="ListParagraph"/>
              <w:numPr>
                <w:ilvl w:val="0"/>
                <w:numId w:val="2"/>
              </w:numPr>
              <w:rPr>
                <w:rFonts w:ascii="Arial" w:hAnsi="Arial" w:cs="Arial"/>
                <w:color w:val="6C6361"/>
                <w:sz w:val="24"/>
                <w:szCs w:val="24"/>
              </w:rPr>
            </w:pPr>
            <w:r w:rsidRPr="008B084E">
              <w:rPr>
                <w:rFonts w:ascii="Arial" w:hAnsi="Arial" w:cs="Arial"/>
                <w:noProof/>
                <w:color w:val="6C6361"/>
                <w:sz w:val="24"/>
                <w:szCs w:val="24"/>
              </w:rPr>
              <w:drawing>
                <wp:anchor distT="0" distB="0" distL="114300" distR="114300" simplePos="0" relativeHeight="251660288" behindDoc="0" locked="0" layoutInCell="1" allowOverlap="1" wp14:anchorId="1E8EAF1E" wp14:editId="62E0C72C">
                  <wp:simplePos x="0" y="0"/>
                  <wp:positionH relativeFrom="column">
                    <wp:posOffset>5762625</wp:posOffset>
                  </wp:positionH>
                  <wp:positionV relativeFrom="paragraph">
                    <wp:posOffset>10160</wp:posOffset>
                  </wp:positionV>
                  <wp:extent cx="892175" cy="101854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A84">
              <w:rPr>
                <w:rFonts w:ascii="Arial" w:hAnsi="Arial" w:cs="Arial"/>
                <w:color w:val="6C6361"/>
                <w:sz w:val="24"/>
                <w:szCs w:val="24"/>
              </w:rPr>
              <w:t xml:space="preserve">Identify the </w:t>
            </w:r>
            <w:proofErr w:type="spellStart"/>
            <w:r w:rsidRPr="00862A84">
              <w:rPr>
                <w:rFonts w:ascii="Arial" w:hAnsi="Arial" w:cs="Arial"/>
                <w:color w:val="6C6361"/>
                <w:sz w:val="24"/>
                <w:szCs w:val="24"/>
              </w:rPr>
              <w:t>distinctinveness</w:t>
            </w:r>
            <w:proofErr w:type="spellEnd"/>
            <w:r w:rsidRPr="00862A84">
              <w:rPr>
                <w:rFonts w:ascii="Arial" w:hAnsi="Arial" w:cs="Arial"/>
                <w:color w:val="6C6361"/>
                <w:sz w:val="24"/>
                <w:szCs w:val="24"/>
              </w:rPr>
              <w:t xml:space="preserve"> and representability challenges and solutions for non-conventional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w:t>
            </w:r>
          </w:p>
          <w:p w:rsidR="00071B18" w:rsidRPr="00862A84" w:rsidRDefault="00071B18" w:rsidP="00814A11">
            <w:pPr>
              <w:pStyle w:val="ListParagraph"/>
              <w:numPr>
                <w:ilvl w:val="0"/>
                <w:numId w:val="2"/>
              </w:numPr>
              <w:rPr>
                <w:rFonts w:ascii="Arial" w:hAnsi="Arial" w:cs="Arial"/>
                <w:color w:val="6C6361"/>
                <w:sz w:val="24"/>
                <w:szCs w:val="24"/>
              </w:rPr>
            </w:pPr>
            <w:r w:rsidRPr="00862A84">
              <w:rPr>
                <w:rFonts w:ascii="Arial" w:hAnsi="Arial" w:cs="Arial"/>
                <w:color w:val="6C6361"/>
                <w:sz w:val="24"/>
                <w:szCs w:val="24"/>
              </w:rPr>
              <w:t xml:space="preserve">Identify the legal developments in the EU, which provide opportunities for non-conventional </w:t>
            </w:r>
            <w:proofErr w:type="spellStart"/>
            <w:r w:rsidRPr="00862A84">
              <w:rPr>
                <w:rFonts w:ascii="Arial" w:hAnsi="Arial" w:cs="Arial"/>
                <w:color w:val="6C6361"/>
                <w:sz w:val="24"/>
                <w:szCs w:val="24"/>
              </w:rPr>
              <w:t>trade marks</w:t>
            </w:r>
            <w:proofErr w:type="spellEnd"/>
            <w:r w:rsidRPr="00862A84">
              <w:rPr>
                <w:rFonts w:ascii="Arial" w:hAnsi="Arial" w:cs="Arial"/>
                <w:color w:val="6C6361"/>
                <w:sz w:val="24"/>
                <w:szCs w:val="24"/>
              </w:rPr>
              <w:t>;</w:t>
            </w:r>
          </w:p>
          <w:p w:rsidR="00071B18" w:rsidRPr="00C15038" w:rsidRDefault="00071B18" w:rsidP="00814A11">
            <w:pPr>
              <w:pStyle w:val="ListParagraph"/>
              <w:numPr>
                <w:ilvl w:val="0"/>
                <w:numId w:val="2"/>
              </w:numPr>
              <w:rPr>
                <w:rFonts w:ascii="Arial" w:hAnsi="Arial" w:cs="Arial"/>
                <w:b/>
                <w:color w:val="6C6361"/>
                <w:sz w:val="24"/>
                <w:szCs w:val="24"/>
              </w:rPr>
            </w:pPr>
            <w:r w:rsidRPr="00862A84">
              <w:rPr>
                <w:rFonts w:ascii="Arial" w:hAnsi="Arial" w:cs="Arial"/>
                <w:color w:val="6C6361"/>
                <w:sz w:val="24"/>
                <w:szCs w:val="24"/>
              </w:rPr>
              <w:t>Realize the advantages and disadvantages of the Nice Classification system and the problems related to trade mark extensions.</w:t>
            </w:r>
            <w:r>
              <w:rPr>
                <w:rFonts w:ascii="Arial" w:hAnsi="Arial" w:cs="Arial"/>
                <w:color w:val="6C6361"/>
                <w:sz w:val="24"/>
                <w:szCs w:val="24"/>
              </w:rPr>
              <w:t xml:space="preserve"> </w:t>
            </w:r>
          </w:p>
        </w:tc>
      </w:tr>
    </w:tbl>
    <w:p w:rsidR="00071B18" w:rsidRDefault="00071B18" w:rsidP="00071B18">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071B18" w:rsidRPr="00320F79" w:rsidTr="00814A11">
        <w:trPr>
          <w:trHeight w:val="397"/>
          <w:jc w:val="center"/>
        </w:trPr>
        <w:tc>
          <w:tcPr>
            <w:tcW w:w="1701" w:type="dxa"/>
            <w:tcBorders>
              <w:top w:val="nil"/>
              <w:left w:val="nil"/>
              <w:bottom w:val="single" w:sz="12" w:space="0" w:color="FFFFFF"/>
            </w:tcBorders>
            <w:shd w:val="clear" w:color="auto" w:fill="F0EBE1"/>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EVT000000098</w:t>
            </w:r>
          </w:p>
        </w:tc>
        <w:tc>
          <w:tcPr>
            <w:tcW w:w="1701" w:type="dxa"/>
            <w:tcBorders>
              <w:top w:val="nil"/>
              <w:bottom w:val="single" w:sz="12" w:space="0" w:color="FFFFFF"/>
            </w:tcBorders>
            <w:shd w:val="clear" w:color="auto" w:fill="F0EBE1"/>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71B18" w:rsidRPr="00320F79" w:rsidTr="00814A11">
        <w:trPr>
          <w:trHeight w:val="397"/>
          <w:jc w:val="center"/>
        </w:trPr>
        <w:tc>
          <w:tcPr>
            <w:tcW w:w="1701" w:type="dxa"/>
            <w:tcBorders>
              <w:top w:val="single" w:sz="12" w:space="0" w:color="FFFFFF"/>
              <w:left w:val="nil"/>
              <w:bottom w:val="single" w:sz="12" w:space="0" w:color="FFFFFF"/>
            </w:tcBorders>
            <w:shd w:val="clear" w:color="auto" w:fill="F0EBE1"/>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14 October</w:t>
            </w:r>
            <w:r w:rsidRPr="00C15038">
              <w:rPr>
                <w:rFonts w:ascii="Arial" w:hAnsi="Arial" w:cs="Arial"/>
                <w:b/>
                <w:color w:val="6C6361"/>
                <w:sz w:val="20"/>
                <w:szCs w:val="20"/>
              </w:rPr>
              <w:t xml:space="preserve"> 2015 (</w:t>
            </w:r>
            <w:r>
              <w:rPr>
                <w:rFonts w:ascii="Arial" w:hAnsi="Arial" w:cs="Arial"/>
                <w:b/>
                <w:color w:val="6C6361"/>
                <w:sz w:val="20"/>
                <w:szCs w:val="20"/>
              </w:rPr>
              <w:t>Wednesday</w:t>
            </w:r>
            <w:r w:rsidRPr="00C15038">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071B18" w:rsidRPr="00320F79" w:rsidTr="00814A11">
        <w:trPr>
          <w:trHeight w:val="397"/>
          <w:jc w:val="center"/>
        </w:trPr>
        <w:tc>
          <w:tcPr>
            <w:tcW w:w="1701" w:type="dxa"/>
            <w:tcBorders>
              <w:top w:val="single" w:sz="12" w:space="0" w:color="FFFFFF"/>
              <w:left w:val="nil"/>
              <w:bottom w:val="single" w:sz="12" w:space="0" w:color="FFFFFF"/>
            </w:tcBorders>
            <w:shd w:val="clear" w:color="auto" w:fill="F0EBE1"/>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15:3</w:t>
            </w:r>
            <w:r w:rsidRPr="00320F79">
              <w:rPr>
                <w:rFonts w:ascii="Arial" w:hAnsi="Arial" w:cs="Arial"/>
                <w:b/>
                <w:color w:val="6C6361"/>
                <w:sz w:val="20"/>
                <w:szCs w:val="20"/>
              </w:rPr>
              <w:t>0 - 1</w:t>
            </w:r>
            <w:r>
              <w:rPr>
                <w:rFonts w:ascii="Arial" w:hAnsi="Arial" w:cs="Arial"/>
                <w:b/>
                <w:color w:val="6C6361"/>
                <w:sz w:val="20"/>
                <w:szCs w:val="20"/>
              </w:rPr>
              <w:t>7:40</w:t>
            </w:r>
          </w:p>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15:0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71B18"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2.0 </w:t>
            </w:r>
            <w:r w:rsidRPr="00320F79">
              <w:rPr>
                <w:rFonts w:ascii="Arial" w:hAnsi="Arial" w:cs="Arial"/>
                <w:b/>
                <w:color w:val="6C6361"/>
                <w:sz w:val="20"/>
                <w:szCs w:val="20"/>
              </w:rPr>
              <w:t>CPD Points</w:t>
            </w:r>
          </w:p>
          <w:p w:rsidR="00071B18" w:rsidRPr="0088169F"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88169F">
              <w:rPr>
                <w:rFonts w:ascii="Arial" w:hAnsi="Arial" w:cs="Arial"/>
                <w:color w:val="6C6361"/>
                <w:sz w:val="20"/>
                <w:szCs w:val="20"/>
              </w:rPr>
              <w:t>(LSHK Allocated Number: 20153196)</w:t>
            </w:r>
          </w:p>
        </w:tc>
      </w:tr>
      <w:tr w:rsidR="00071B18" w:rsidRPr="00320F79" w:rsidTr="00814A11">
        <w:trPr>
          <w:trHeight w:val="1247"/>
          <w:jc w:val="center"/>
        </w:trPr>
        <w:tc>
          <w:tcPr>
            <w:tcW w:w="1701" w:type="dxa"/>
            <w:tcBorders>
              <w:top w:val="single" w:sz="12" w:space="0" w:color="FFFFFF"/>
              <w:left w:val="nil"/>
              <w:bottom w:val="nil"/>
            </w:tcBorders>
            <w:shd w:val="clear" w:color="auto" w:fill="F0EBE1"/>
            <w:vAlign w:val="center"/>
          </w:tcPr>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071B18" w:rsidRPr="00320F79" w:rsidRDefault="00071B18" w:rsidP="00814A1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071B18" w:rsidRPr="00320F79"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71B18" w:rsidRDefault="00071B18" w:rsidP="00814A11">
            <w:pPr>
              <w:jc w:val="right"/>
              <w:rPr>
                <w:rFonts w:ascii="Arial" w:hAnsi="Arial" w:cs="Arial"/>
                <w:b/>
                <w:color w:val="6C6361"/>
                <w:sz w:val="20"/>
                <w:szCs w:val="20"/>
              </w:rPr>
            </w:pPr>
          </w:p>
          <w:p w:rsidR="00071B18" w:rsidRDefault="00071B18" w:rsidP="00814A11">
            <w:pPr>
              <w:jc w:val="right"/>
              <w:rPr>
                <w:rFonts w:ascii="Arial" w:hAnsi="Arial" w:cs="Arial"/>
                <w:b/>
                <w:color w:val="6C6361"/>
                <w:sz w:val="20"/>
                <w:szCs w:val="20"/>
              </w:rPr>
            </w:pPr>
          </w:p>
          <w:p w:rsidR="00071B18" w:rsidRPr="00320F79" w:rsidRDefault="00071B18" w:rsidP="00814A11">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445C271" wp14:editId="6341529F">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71B18" w:rsidRPr="00E2201B" w:rsidRDefault="00071B18" w:rsidP="00814A11">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071B18" w:rsidRPr="003A2A41"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071B18" w:rsidRPr="003A2A41"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071B18" w:rsidRPr="003A2A41"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rsidR="00071B18" w:rsidRPr="003A2A41"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071B18" w:rsidRPr="00156567" w:rsidRDefault="00071B18" w:rsidP="00814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C0B9B57" wp14:editId="445342E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71B18" w:rsidRDefault="00214BC6" w:rsidP="00071B18"/>
    <w:sectPr w:rsidR="00214BC6" w:rsidRPr="00071B18"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3B0" w:rsidRDefault="001363B0" w:rsidP="00546556">
      <w:r>
        <w:separator/>
      </w:r>
    </w:p>
  </w:endnote>
  <w:endnote w:type="continuationSeparator" w:id="0">
    <w:p w:rsidR="001363B0" w:rsidRDefault="001363B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3B0" w:rsidRDefault="001363B0" w:rsidP="00546556">
      <w:r>
        <w:separator/>
      </w:r>
    </w:p>
  </w:footnote>
  <w:footnote w:type="continuationSeparator" w:id="0">
    <w:p w:rsidR="001363B0" w:rsidRDefault="001363B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gutterAtTop/>
  <w:proofState w:spelling="clean" w:grammar="clean"/>
  <w:documentProtection w:edit="forms" w:enforcement="1" w:cryptProviderType="rsaAES" w:cryptAlgorithmClass="hash" w:cryptAlgorithmType="typeAny" w:cryptAlgorithmSid="14" w:cryptSpinCount="100000" w:hash="htvMqBX+nDzQG7UMp9DBfRNlontazAUBCsg7XzcYmCF1utAGCWR1THeeEM8gnFn8a6zy6toSm+ql8vBH0OHu1g==" w:salt="h/Uovu1TyXzEZyCxdRRC6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1B18"/>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363B0"/>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638/"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hyperlink" Target="http://cpd.hk/evt00000009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pdragon.org/"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B4B1F-B6B0-47D4-8581-326037F7A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Construction Adjudication Overview</vt:lpstr>
    </vt:vector>
  </TitlesOfParts>
  <Manager>Tyrone Tsang</Manager>
  <Company>The Profectional Company Limited</Company>
  <LinksUpToDate>false</LinksUpToDate>
  <CharactersWithSpaces>4331</CharactersWithSpaces>
  <SharedDoc>false</SharedDoc>
  <HyperlinkBase>http://download.profectional.com/events/EVT000000098.docx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Trade Mark Challenges and Opportunities in Times of Social Media and Non-Conventional Marks</dc:title>
  <dc:subject>CPD Course: Trade Mark Challenges and Opportunities in Times of Social Media and Non-Conventional Marks</dc:subject>
  <dc:creator>The Profectional Company Limited</dc:creator>
  <cp:keywords>Profectional; Kornerstone; CPD; CPT; CLE; CE; RME; Danny Friedmann; Research Associate; Lecturer; Faculty of Law; The Chinese University of Hong Kong; Author; Trademarks and Social Media; Founder; Editor; IP Dragon</cp:keywords>
  <cp:lastModifiedBy>Tyrone Tsang</cp:lastModifiedBy>
  <cp:revision>10</cp:revision>
  <cp:lastPrinted>2015-06-06T08:18:00Z</cp:lastPrinted>
  <dcterms:created xsi:type="dcterms:W3CDTF">2015-05-28T16:24:00Z</dcterms:created>
  <dcterms:modified xsi:type="dcterms:W3CDTF">2015-10-14T07:41:00Z</dcterms:modified>
</cp:coreProperties>
</file>