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876" w:rsidRPr="00F81876" w:rsidRDefault="00F81876" w:rsidP="00F8187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81876" w:rsidRPr="00523A64" w:rsidTr="00FA3713">
        <w:trPr>
          <w:trHeight w:val="3119"/>
          <w:jc w:val="center"/>
        </w:trPr>
        <w:tc>
          <w:tcPr>
            <w:tcW w:w="4820" w:type="dxa"/>
            <w:shd w:val="clear" w:color="auto" w:fill="FFFFFF"/>
            <w:vAlign w:val="center"/>
          </w:tcPr>
          <w:p w:rsidR="00F81876" w:rsidRPr="001A3018" w:rsidRDefault="00F81876" w:rsidP="00FA3713">
            <w:pPr>
              <w:jc w:val="center"/>
              <w:rPr>
                <w:rFonts w:ascii="Arial" w:hAnsi="Arial" w:cs="Arial"/>
                <w:b/>
                <w:bCs/>
                <w:color w:val="524B48"/>
                <w:sz w:val="4"/>
                <w:szCs w:val="4"/>
              </w:rPr>
            </w:pPr>
          </w:p>
          <w:p w:rsidR="00F81876" w:rsidRPr="0051550E" w:rsidRDefault="00F81876" w:rsidP="00FA3713">
            <w:pPr>
              <w:jc w:val="center"/>
              <w:rPr>
                <w:rStyle w:val="Hyperlink"/>
                <w:rFonts w:ascii="Arial" w:hAnsi="Arial" w:cs="Arial"/>
                <w:b/>
                <w:bCs/>
                <w:color w:val="524B48"/>
                <w:sz w:val="32"/>
                <w:szCs w:val="32"/>
                <w:u w:val="none"/>
              </w:rPr>
            </w:pPr>
            <w:r w:rsidRPr="00CF685C">
              <w:fldChar w:fldCharType="begin"/>
            </w:r>
            <w:r>
              <w:instrText>HYPERLINK "http://cpd.hk/evt000000101/"</w:instrText>
            </w:r>
            <w:r w:rsidRPr="00CF685C">
              <w:fldChar w:fldCharType="separate"/>
            </w:r>
            <w:r w:rsidRPr="0051550E">
              <w:rPr>
                <w:rStyle w:val="Hyperlink"/>
                <w:rFonts w:ascii="Arial" w:hAnsi="Arial" w:cs="Arial"/>
                <w:b/>
                <w:bCs/>
                <w:color w:val="524B48"/>
                <w:sz w:val="32"/>
                <w:szCs w:val="32"/>
                <w:u w:val="none"/>
              </w:rPr>
              <w:t>Intern</w:t>
            </w:r>
            <w:r>
              <w:rPr>
                <w:rStyle w:val="Hyperlink"/>
                <w:rFonts w:ascii="Arial" w:hAnsi="Arial" w:cs="Arial"/>
                <w:b/>
                <w:bCs/>
                <w:color w:val="524B48"/>
                <w:sz w:val="32"/>
                <w:szCs w:val="32"/>
                <w:u w:val="none"/>
              </w:rPr>
              <w:t>et Domain Names</w:t>
            </w:r>
          </w:p>
          <w:p w:rsidR="00F81876" w:rsidRDefault="00F81876" w:rsidP="00FA3713">
            <w:pPr>
              <w:jc w:val="center"/>
              <w:rPr>
                <w:rStyle w:val="Hyperlink"/>
                <w:rFonts w:ascii="Arial" w:hAnsi="Arial" w:cs="Arial"/>
                <w:b/>
                <w:bCs/>
                <w:color w:val="524B48"/>
                <w:sz w:val="32"/>
                <w:szCs w:val="32"/>
                <w:u w:val="none"/>
              </w:rPr>
            </w:pPr>
            <w:r w:rsidRPr="0051550E">
              <w:rPr>
                <w:rStyle w:val="Hyperlink"/>
                <w:rFonts w:ascii="Arial" w:hAnsi="Arial" w:cs="Arial"/>
                <w:b/>
                <w:bCs/>
                <w:color w:val="524B48"/>
                <w:sz w:val="32"/>
                <w:szCs w:val="32"/>
                <w:u w:val="none"/>
              </w:rPr>
              <w:t xml:space="preserve"> Dispute</w:t>
            </w:r>
            <w:r>
              <w:rPr>
                <w:rStyle w:val="Hyperlink"/>
                <w:rFonts w:ascii="Arial" w:hAnsi="Arial" w:cs="Arial"/>
                <w:b/>
                <w:bCs/>
                <w:color w:val="524B48"/>
                <w:sz w:val="32"/>
                <w:szCs w:val="32"/>
                <w:u w:val="none"/>
              </w:rPr>
              <w:t>s:</w:t>
            </w:r>
          </w:p>
          <w:p w:rsidR="00F81876" w:rsidRPr="00CF685C" w:rsidRDefault="00F81876" w:rsidP="00FA371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Principles and Practice</w:t>
            </w:r>
          </w:p>
          <w:p w:rsidR="00F81876" w:rsidRPr="00C65AFD" w:rsidRDefault="00F81876" w:rsidP="00FA3713">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F81876" w:rsidRPr="00C65AFD" w:rsidRDefault="00F81876" w:rsidP="00FA3713">
            <w:pPr>
              <w:jc w:val="center"/>
              <w:rPr>
                <w:rFonts w:ascii="Arial" w:hAnsi="Arial" w:cs="Arial"/>
                <w:i/>
                <w:color w:val="6C6361"/>
                <w:sz w:val="24"/>
                <w:szCs w:val="24"/>
              </w:rPr>
            </w:pPr>
            <w:r w:rsidRPr="00C65AFD">
              <w:rPr>
                <w:rFonts w:ascii="Arial" w:hAnsi="Arial" w:cs="Arial"/>
                <w:i/>
                <w:color w:val="6C6361"/>
                <w:sz w:val="24"/>
                <w:szCs w:val="24"/>
              </w:rPr>
              <w:t>by</w:t>
            </w:r>
          </w:p>
          <w:p w:rsidR="00F81876" w:rsidRDefault="00F81876" w:rsidP="00FA3713">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 xml:space="preserve">, </w:t>
            </w:r>
          </w:p>
          <w:p w:rsidR="00F81876" w:rsidRPr="0051550E" w:rsidRDefault="00F81876" w:rsidP="00FA3713">
            <w:pPr>
              <w:jc w:val="center"/>
              <w:rPr>
                <w:rFonts w:ascii="Arial" w:hAnsi="Arial" w:cs="Arial"/>
                <w:color w:val="6C6361"/>
                <w:sz w:val="24"/>
                <w:szCs w:val="24"/>
              </w:rPr>
            </w:pPr>
            <w:r w:rsidRPr="0051550E">
              <w:rPr>
                <w:rFonts w:ascii="Arial" w:hAnsi="Arial" w:cs="Arial"/>
                <w:color w:val="6C6361"/>
                <w:sz w:val="24"/>
                <w:szCs w:val="24"/>
              </w:rPr>
              <w:t>Associate Professor,</w:t>
            </w:r>
          </w:p>
          <w:p w:rsidR="00F81876" w:rsidRPr="00D87ECF" w:rsidRDefault="00F81876" w:rsidP="00FA3713">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F81876" w:rsidRPr="00D50772" w:rsidRDefault="00F81876" w:rsidP="00FA3713">
            <w:pPr>
              <w:spacing w:line="276" w:lineRule="auto"/>
              <w:jc w:val="center"/>
              <w:rPr>
                <w:rFonts w:ascii="Arial" w:eastAsia="Times New Roman" w:hAnsi="Arial" w:cs="Arial"/>
                <w:noProof/>
                <w:sz w:val="20"/>
                <w:szCs w:val="20"/>
              </w:rPr>
            </w:pPr>
            <w:r w:rsidRPr="004B6A88">
              <w:rPr>
                <w:rFonts w:ascii="Arial" w:hAnsi="Arial" w:cs="Arial"/>
                <w:noProof/>
                <w:color w:val="6C6361"/>
                <w:sz w:val="24"/>
                <w:szCs w:val="24"/>
              </w:rPr>
              <w:drawing>
                <wp:anchor distT="0" distB="0" distL="114300" distR="114300" simplePos="0" relativeHeight="251659264" behindDoc="0" locked="0" layoutInCell="1" allowOverlap="1" wp14:anchorId="29951506" wp14:editId="57543E8D">
                  <wp:simplePos x="0" y="0"/>
                  <wp:positionH relativeFrom="column">
                    <wp:posOffset>3171190</wp:posOffset>
                  </wp:positionH>
                  <wp:positionV relativeFrom="paragraph">
                    <wp:posOffset>-56515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5F089FA" wp14:editId="07EA251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81876" w:rsidRDefault="00F81876" w:rsidP="00F81876">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F81876" w:rsidRPr="0051550E" w:rsidTr="00FA3713">
        <w:trPr>
          <w:trHeight w:val="10206"/>
          <w:jc w:val="center"/>
        </w:trPr>
        <w:tc>
          <w:tcPr>
            <w:tcW w:w="1985" w:type="dxa"/>
            <w:shd w:val="clear" w:color="auto" w:fill="FFFFFF"/>
            <w:vAlign w:val="center"/>
          </w:tcPr>
          <w:p w:rsidR="00F81876" w:rsidRPr="0051550E" w:rsidRDefault="00F81876" w:rsidP="00FA3713">
            <w:pPr>
              <w:spacing w:line="276" w:lineRule="auto"/>
              <w:contextualSpacing/>
              <w:jc w:val="center"/>
              <w:rPr>
                <w:rFonts w:ascii="Arial" w:hAnsi="Arial" w:cs="Arial"/>
                <w:sz w:val="24"/>
                <w:szCs w:val="24"/>
              </w:rPr>
            </w:pPr>
            <w:r w:rsidRPr="0051550E">
              <w:rPr>
                <w:rFonts w:ascii="Arial" w:hAnsi="Arial" w:cs="Arial"/>
                <w:noProof/>
                <w:sz w:val="24"/>
                <w:szCs w:val="24"/>
              </w:rPr>
              <w:drawing>
                <wp:inline distT="0" distB="0" distL="0" distR="0" wp14:anchorId="3C9DEB6D" wp14:editId="115D890C">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F81876" w:rsidRPr="00BE661D" w:rsidRDefault="00F81876" w:rsidP="00FA3713">
            <w:pPr>
              <w:pStyle w:val="NormalWeb"/>
              <w:contextualSpacing/>
              <w:rPr>
                <w:rFonts w:ascii="Arial" w:hAnsi="Arial" w:cs="Arial"/>
                <w:color w:val="6C6361"/>
              </w:rPr>
            </w:pPr>
            <w:r w:rsidRPr="00BE661D">
              <w:rPr>
                <w:rFonts w:ascii="Arial" w:hAnsi="Arial" w:cs="Arial"/>
                <w:color w:val="6C6361"/>
              </w:rPr>
              <w:t xml:space="preserve">Prof. </w:t>
            </w:r>
            <w:proofErr w:type="spellStart"/>
            <w:r w:rsidRPr="00BE661D">
              <w:rPr>
                <w:rFonts w:ascii="Arial" w:hAnsi="Arial" w:cs="Arial"/>
                <w:color w:val="6C6361"/>
              </w:rPr>
              <w:t>Chaisse</w:t>
            </w:r>
            <w:proofErr w:type="spellEnd"/>
            <w:r w:rsidRPr="00BE661D">
              <w:rPr>
                <w:rFonts w:ascii="Arial" w:hAnsi="Arial" w:cs="Arial"/>
                <w:color w:val="6C6361"/>
              </w:rPr>
              <w:t xml:space="preserve"> is an award-winning specialist in international economic law with particular expertise in the regulation and e</w:t>
            </w:r>
            <w:r>
              <w:rPr>
                <w:rFonts w:ascii="Arial" w:hAnsi="Arial" w:cs="Arial"/>
                <w:color w:val="6C6361"/>
              </w:rPr>
              <w:t xml:space="preserve">conomics of foreign investment.  </w:t>
            </w:r>
            <w:r w:rsidRPr="00BE661D">
              <w:rPr>
                <w:rFonts w:ascii="Arial" w:hAnsi="Arial" w:cs="Arial"/>
                <w:color w:val="6C6361"/>
              </w:rPr>
              <w:t xml:space="preserve">His research also covers other relevant fields, such as WTO law, international taxation and cyber law. </w:t>
            </w:r>
          </w:p>
          <w:p w:rsidR="00F81876" w:rsidRPr="00E267AA" w:rsidRDefault="00F81876" w:rsidP="00FA3713">
            <w:pPr>
              <w:pStyle w:val="NormalWeb"/>
              <w:contextualSpacing/>
              <w:rPr>
                <w:rFonts w:ascii="Arial" w:hAnsi="Arial" w:cs="Arial"/>
                <w:color w:val="6C6361"/>
                <w:sz w:val="12"/>
                <w:szCs w:val="12"/>
              </w:rPr>
            </w:pPr>
          </w:p>
          <w:p w:rsidR="00F81876" w:rsidRPr="00BE661D" w:rsidRDefault="00F81876" w:rsidP="00FA3713">
            <w:pPr>
              <w:pStyle w:val="NormalWeb"/>
              <w:contextualSpacing/>
              <w:rPr>
                <w:rFonts w:ascii="Arial" w:hAnsi="Arial" w:cs="Arial"/>
                <w:color w:val="6C6361"/>
              </w:rPr>
            </w:pPr>
            <w:r w:rsidRPr="00BE661D">
              <w:rPr>
                <w:rFonts w:ascii="Arial" w:hAnsi="Arial" w:cs="Arial"/>
                <w:color w:val="6C6361"/>
              </w:rPr>
              <w:t xml:space="preserve">Prof. </w:t>
            </w:r>
            <w:proofErr w:type="spellStart"/>
            <w:r w:rsidRPr="00BE661D">
              <w:rPr>
                <w:rFonts w:ascii="Arial" w:hAnsi="Arial" w:cs="Arial"/>
                <w:color w:val="6C6361"/>
              </w:rPr>
              <w:t>Chaisse</w:t>
            </w:r>
            <w:proofErr w:type="spellEnd"/>
            <w:r w:rsidRPr="00BE661D">
              <w:rPr>
                <w:rFonts w:ascii="Arial" w:hAnsi="Arial" w:cs="Arial"/>
                <w:color w:val="6C6361"/>
              </w:rPr>
              <w:t xml:space="preserve"> is an Arbitrator empaneled with the Kuala Lumpur Regional Center for Arbitration (KLRCA), the Hong Kong</w:t>
            </w:r>
            <w:r>
              <w:rPr>
                <w:rFonts w:ascii="Arial" w:hAnsi="Arial" w:cs="Arial"/>
                <w:color w:val="6C6361"/>
              </w:rPr>
              <w:t xml:space="preserve"> International Arbitration Cent</w:t>
            </w:r>
            <w:r w:rsidRPr="00BE661D">
              <w:rPr>
                <w:rFonts w:ascii="Arial" w:hAnsi="Arial" w:cs="Arial"/>
                <w:color w:val="6C6361"/>
              </w:rPr>
              <w:t>r</w:t>
            </w:r>
            <w:r>
              <w:rPr>
                <w:rFonts w:ascii="Arial" w:hAnsi="Arial" w:cs="Arial"/>
                <w:color w:val="6C6361"/>
              </w:rPr>
              <w:t>e</w:t>
            </w:r>
            <w:r w:rsidRPr="00BE661D">
              <w:rPr>
                <w:rFonts w:ascii="Arial" w:hAnsi="Arial" w:cs="Arial"/>
                <w:color w:val="6C6361"/>
              </w:rPr>
              <w:t xml:space="preserve"> (HKIAC), the Shenzhen Arbitration Commission (SAC), and the Asian Domain Name Dispute Resolution Centre (ADNDRC).</w:t>
            </w:r>
            <w:r>
              <w:rPr>
                <w:rFonts w:ascii="Arial" w:hAnsi="Arial" w:cs="Arial"/>
                <w:color w:val="6C6361"/>
              </w:rPr>
              <w:t xml:space="preserve"> </w:t>
            </w:r>
            <w:r w:rsidRPr="00BE661D">
              <w:rPr>
                <w:rFonts w:ascii="Arial" w:hAnsi="Arial" w:cs="Arial"/>
                <w:color w:val="6C6361"/>
              </w:rPr>
              <w:t xml:space="preserve"> He has decided a number of internet domain disputes in cases administered by the ADNDRC.</w:t>
            </w:r>
          </w:p>
          <w:p w:rsidR="00F81876" w:rsidRPr="00E267AA" w:rsidRDefault="00F81876" w:rsidP="00FA3713">
            <w:pPr>
              <w:pStyle w:val="NormalWeb"/>
              <w:contextualSpacing/>
              <w:rPr>
                <w:rFonts w:ascii="Arial" w:hAnsi="Arial" w:cs="Arial"/>
                <w:color w:val="6C6361"/>
                <w:sz w:val="12"/>
                <w:szCs w:val="12"/>
              </w:rPr>
            </w:pPr>
          </w:p>
          <w:p w:rsidR="00F81876" w:rsidRPr="00BE661D" w:rsidRDefault="00F81876" w:rsidP="00FA3713">
            <w:pPr>
              <w:pStyle w:val="NormalWeb"/>
              <w:contextualSpacing/>
              <w:rPr>
                <w:rFonts w:ascii="Arial" w:hAnsi="Arial" w:cs="Arial"/>
                <w:color w:val="6C6361"/>
              </w:rPr>
            </w:pPr>
            <w:r w:rsidRPr="00BE661D">
              <w:rPr>
                <w:rFonts w:ascii="Arial" w:hAnsi="Arial" w:cs="Arial"/>
                <w:color w:val="6C6361"/>
              </w:rPr>
              <w:t xml:space="preserve">Before joining the CUHK Law Faculty in 2009, Prof. </w:t>
            </w:r>
            <w:proofErr w:type="spellStart"/>
            <w:r w:rsidRPr="00BE661D">
              <w:rPr>
                <w:rFonts w:ascii="Arial" w:hAnsi="Arial" w:cs="Arial"/>
                <w:color w:val="6C6361"/>
              </w:rPr>
              <w:t>Chaisse</w:t>
            </w:r>
            <w:proofErr w:type="spellEnd"/>
            <w:r w:rsidRPr="00BE661D">
              <w:rPr>
                <w:rFonts w:ascii="Arial" w:hAnsi="Arial" w:cs="Arial"/>
                <w:color w:val="6C6361"/>
              </w:rPr>
              <w:t xml:space="preserve"> served in the Ministry of Foreign Affairs of France, and started his academic career in Europe. </w:t>
            </w:r>
            <w:r>
              <w:rPr>
                <w:rFonts w:ascii="Arial" w:hAnsi="Arial" w:cs="Arial"/>
                <w:color w:val="6C6361"/>
              </w:rPr>
              <w:t xml:space="preserve"> </w:t>
            </w:r>
            <w:r w:rsidRPr="00BE661D">
              <w:rPr>
                <w:rFonts w:ascii="Arial" w:hAnsi="Arial" w:cs="Arial"/>
                <w:color w:val="6C6361"/>
              </w:rPr>
              <w:t xml:space="preserve">Since then, Prof. </w:t>
            </w:r>
            <w:proofErr w:type="spellStart"/>
            <w:r w:rsidRPr="00BE661D">
              <w:rPr>
                <w:rFonts w:ascii="Arial" w:hAnsi="Arial" w:cs="Arial"/>
                <w:color w:val="6C6361"/>
              </w:rPr>
              <w:t>Chaisse</w:t>
            </w:r>
            <w:proofErr w:type="spellEnd"/>
            <w:r w:rsidRPr="00BE661D">
              <w:rPr>
                <w:rFonts w:ascii="Arial" w:hAnsi="Arial" w:cs="Arial"/>
                <w:color w:val="6C6361"/>
              </w:rPr>
              <w:t xml:space="preserve"> has been frequently being invited as a guest lecturer to many prestigious academies and universities around the world, including the Academy of International Investment and Trade Law, Columbia University, Brown University and Boston University (U.S.), Passau University (Germany) and Melbourne University (Australia) where he is a Senior Fellow to the Law School.</w:t>
            </w:r>
          </w:p>
          <w:p w:rsidR="00F81876" w:rsidRPr="00E267AA" w:rsidRDefault="00F81876" w:rsidP="00FA3713">
            <w:pPr>
              <w:pStyle w:val="NormalWeb"/>
              <w:contextualSpacing/>
              <w:rPr>
                <w:rFonts w:ascii="Arial" w:hAnsi="Arial" w:cs="Arial"/>
                <w:color w:val="6C6361"/>
                <w:sz w:val="12"/>
                <w:szCs w:val="12"/>
              </w:rPr>
            </w:pPr>
          </w:p>
          <w:p w:rsidR="00F81876" w:rsidRPr="00BE661D" w:rsidRDefault="00F81876" w:rsidP="00FA3713">
            <w:pPr>
              <w:pStyle w:val="NormalWeb"/>
              <w:contextualSpacing/>
              <w:rPr>
                <w:rFonts w:ascii="Arial" w:hAnsi="Arial" w:cs="Arial"/>
                <w:color w:val="6C6361"/>
              </w:rPr>
            </w:pPr>
            <w:r w:rsidRPr="00BE661D">
              <w:rPr>
                <w:rFonts w:ascii="Arial" w:hAnsi="Arial" w:cs="Arial"/>
                <w:color w:val="6C6361"/>
              </w:rPr>
              <w:t xml:space="preserve">Prof. </w:t>
            </w:r>
            <w:proofErr w:type="spellStart"/>
            <w:r w:rsidRPr="00BE661D">
              <w:rPr>
                <w:rFonts w:ascii="Arial" w:hAnsi="Arial" w:cs="Arial"/>
                <w:color w:val="6C6361"/>
              </w:rPr>
              <w:t>Chaisse</w:t>
            </w:r>
            <w:proofErr w:type="spellEnd"/>
            <w:r w:rsidRPr="00BE661D">
              <w:rPr>
                <w:rFonts w:ascii="Arial" w:hAnsi="Arial" w:cs="Arial"/>
                <w:color w:val="6C6361"/>
              </w:rPr>
              <w:t xml:space="preserve"> has authored a broad body of well-regarded and widely-cited articles on topics ranging from the rise of sovereign wealth funds, the regulation of foreign investment, and decision-making challenges facing the WTO, which have been published in the top refereed journals of international law.</w:t>
            </w:r>
            <w:r>
              <w:rPr>
                <w:rFonts w:ascii="Arial" w:hAnsi="Arial" w:cs="Arial"/>
                <w:color w:val="6C6361"/>
              </w:rPr>
              <w:t xml:space="preserve"> </w:t>
            </w:r>
            <w:r w:rsidRPr="00BE661D">
              <w:rPr>
                <w:rFonts w:ascii="Arial" w:hAnsi="Arial" w:cs="Arial"/>
                <w:color w:val="6C6361"/>
              </w:rPr>
              <w:t xml:space="preserve"> In recognition of his outstanding scholarly achievements, Prof. </w:t>
            </w:r>
            <w:proofErr w:type="spellStart"/>
            <w:r w:rsidRPr="00BE661D">
              <w:rPr>
                <w:rFonts w:ascii="Arial" w:hAnsi="Arial" w:cs="Arial"/>
                <w:color w:val="6C6361"/>
              </w:rPr>
              <w:t>Chaisse</w:t>
            </w:r>
            <w:proofErr w:type="spellEnd"/>
            <w:r w:rsidRPr="00BE661D">
              <w:rPr>
                <w:rFonts w:ascii="Arial" w:hAnsi="Arial" w:cs="Arial"/>
                <w:color w:val="6C6361"/>
              </w:rPr>
              <w:t xml:space="preserve"> received the CUHK Research Excellence Award in 2012, and was appointed Director of the Center for Financial Regulation and Economic Development of our Faculty since 2013.</w:t>
            </w:r>
          </w:p>
          <w:p w:rsidR="00F81876" w:rsidRPr="00E267AA" w:rsidRDefault="00F81876" w:rsidP="00FA3713">
            <w:pPr>
              <w:pStyle w:val="NormalWeb"/>
              <w:contextualSpacing/>
              <w:rPr>
                <w:rFonts w:ascii="Arial" w:hAnsi="Arial" w:cs="Arial"/>
                <w:color w:val="6C6361"/>
                <w:sz w:val="12"/>
                <w:szCs w:val="12"/>
              </w:rPr>
            </w:pPr>
          </w:p>
          <w:p w:rsidR="00F81876" w:rsidRPr="0051550E" w:rsidRDefault="00F81876" w:rsidP="00FA3713">
            <w:pPr>
              <w:pStyle w:val="NormalWeb"/>
              <w:contextualSpacing/>
              <w:rPr>
                <w:rFonts w:ascii="Arial" w:hAnsi="Arial" w:cs="Arial"/>
                <w:color w:val="6C6361"/>
              </w:rPr>
            </w:pPr>
            <w:r w:rsidRPr="00BE661D">
              <w:rPr>
                <w:rFonts w:ascii="Arial" w:hAnsi="Arial" w:cs="Arial"/>
                <w:color w:val="6C6361"/>
              </w:rPr>
              <w:t xml:space="preserve">In addition to scholarly work, Prof. </w:t>
            </w:r>
            <w:proofErr w:type="spellStart"/>
            <w:r w:rsidRPr="00BE661D">
              <w:rPr>
                <w:rFonts w:ascii="Arial" w:hAnsi="Arial" w:cs="Arial"/>
                <w:color w:val="6C6361"/>
              </w:rPr>
              <w:t>Chaisse</w:t>
            </w:r>
            <w:proofErr w:type="spellEnd"/>
            <w:r w:rsidRPr="00BE661D">
              <w:rPr>
                <w:rFonts w:ascii="Arial" w:hAnsi="Arial" w:cs="Arial"/>
                <w:color w:val="6C6361"/>
              </w:rPr>
              <w:t xml:space="preserve"> has wide experience as a practitioner, and is engaged as expert, counsel and arbitrator in international dispute settlement. </w:t>
            </w:r>
            <w:r>
              <w:rPr>
                <w:rFonts w:ascii="Arial" w:hAnsi="Arial" w:cs="Arial"/>
                <w:color w:val="6C6361"/>
              </w:rPr>
              <w:t xml:space="preserve"> </w:t>
            </w:r>
            <w:r w:rsidRPr="00BE661D">
              <w:rPr>
                <w:rFonts w:ascii="Arial" w:hAnsi="Arial" w:cs="Arial"/>
                <w:color w:val="6C6361"/>
              </w:rPr>
              <w:t xml:space="preserve">Apart from his frequently being interviewed by local and international media on current events and legal issues, Prof. </w:t>
            </w:r>
            <w:proofErr w:type="spellStart"/>
            <w:r w:rsidRPr="00BE661D">
              <w:rPr>
                <w:rFonts w:ascii="Arial" w:hAnsi="Arial" w:cs="Arial"/>
                <w:color w:val="6C6361"/>
              </w:rPr>
              <w:t>Chaisse</w:t>
            </w:r>
            <w:proofErr w:type="spellEnd"/>
            <w:r w:rsidRPr="00BE661D">
              <w:rPr>
                <w:rFonts w:ascii="Arial" w:hAnsi="Arial" w:cs="Arial"/>
                <w:color w:val="6C6361"/>
              </w:rPr>
              <w:t xml:space="preserve"> is also regularly invited to provide legal advice and training courses on cutting-edge issues of international economic law for international organizations, governments, multinational law firms and private investors, including the United Nations ESCAP and ITC, World Trade Organization, ASEAN Secretariat, European Commission, Asian Development Bank, numbers of European countries and ASEAN member states.</w:t>
            </w:r>
          </w:p>
        </w:tc>
      </w:tr>
    </w:tbl>
    <w:p w:rsidR="00F81876" w:rsidRDefault="00F81876" w:rsidP="00F81876">
      <w:pPr>
        <w:spacing w:line="276" w:lineRule="auto"/>
        <w:rPr>
          <w:rFonts w:ascii="Arial" w:hAnsi="Arial" w:cs="Arial"/>
          <w:sz w:val="20"/>
          <w:szCs w:val="20"/>
        </w:rPr>
      </w:pPr>
    </w:p>
    <w:p w:rsidR="00F81876" w:rsidRDefault="00F81876" w:rsidP="00F81876">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F81876" w:rsidRPr="00390282" w:rsidTr="00FA3713">
        <w:trPr>
          <w:trHeight w:val="454"/>
          <w:jc w:val="center"/>
        </w:trPr>
        <w:tc>
          <w:tcPr>
            <w:tcW w:w="10773" w:type="dxa"/>
            <w:tcBorders>
              <w:top w:val="nil"/>
              <w:bottom w:val="nil"/>
            </w:tcBorders>
            <w:shd w:val="clear" w:color="auto" w:fill="F0EBE1"/>
            <w:vAlign w:val="center"/>
          </w:tcPr>
          <w:p w:rsidR="00F81876" w:rsidRPr="00390282" w:rsidRDefault="00F81876" w:rsidP="00FA3713">
            <w:pPr>
              <w:jc w:val="center"/>
              <w:rPr>
                <w:rFonts w:ascii="Arial" w:hAnsi="Arial" w:cs="Arial"/>
                <w:b/>
                <w:color w:val="524B48"/>
                <w:sz w:val="24"/>
                <w:szCs w:val="24"/>
              </w:rPr>
            </w:pPr>
            <w:r>
              <w:rPr>
                <w:rFonts w:ascii="Arial" w:hAnsi="Arial" w:cs="Arial"/>
                <w:b/>
                <w:color w:val="524B48"/>
                <w:sz w:val="24"/>
                <w:szCs w:val="24"/>
              </w:rPr>
              <w:lastRenderedPageBreak/>
              <w:t>Course Objective:</w:t>
            </w:r>
          </w:p>
        </w:tc>
      </w:tr>
      <w:tr w:rsidR="00F81876" w:rsidRPr="00390282" w:rsidTr="00FA3713">
        <w:trPr>
          <w:trHeight w:val="7065"/>
          <w:jc w:val="center"/>
        </w:trPr>
        <w:tc>
          <w:tcPr>
            <w:tcW w:w="10773" w:type="dxa"/>
            <w:tcBorders>
              <w:top w:val="nil"/>
              <w:bottom w:val="nil"/>
            </w:tcBorders>
            <w:shd w:val="clear" w:color="auto" w:fill="FFFFFF"/>
            <w:vAlign w:val="center"/>
          </w:tcPr>
          <w:p w:rsidR="00F81876" w:rsidRPr="00E267AA" w:rsidRDefault="00F81876" w:rsidP="00FA3713">
            <w:pPr>
              <w:rPr>
                <w:rFonts w:ascii="Arial" w:hAnsi="Arial" w:cs="Arial"/>
                <w:color w:val="6C6361"/>
                <w:sz w:val="24"/>
                <w:szCs w:val="24"/>
              </w:rPr>
            </w:pPr>
            <w:r w:rsidRPr="00E267AA">
              <w:rPr>
                <w:rFonts w:ascii="Arial" w:hAnsi="Arial" w:cs="Arial"/>
                <w:color w:val="6C6361"/>
                <w:sz w:val="24"/>
                <w:szCs w:val="24"/>
              </w:rPr>
              <w:t xml:space="preserve">Internet domain names are true economic assets which raises important legal issues. </w:t>
            </w:r>
            <w:r>
              <w:rPr>
                <w:rFonts w:ascii="Arial" w:hAnsi="Arial" w:cs="Arial"/>
                <w:color w:val="6C6361"/>
                <w:sz w:val="24"/>
                <w:szCs w:val="24"/>
              </w:rPr>
              <w:t xml:space="preserve"> </w:t>
            </w:r>
            <w:r w:rsidRPr="00E267AA">
              <w:rPr>
                <w:rFonts w:ascii="Arial" w:hAnsi="Arial" w:cs="Arial"/>
                <w:color w:val="6C6361"/>
                <w:sz w:val="24"/>
                <w:szCs w:val="24"/>
              </w:rPr>
              <w:t xml:space="preserve">In this respect, companies have </w:t>
            </w:r>
            <w:proofErr w:type="spellStart"/>
            <w:r w:rsidRPr="00E267AA">
              <w:rPr>
                <w:rFonts w:ascii="Arial" w:hAnsi="Arial" w:cs="Arial"/>
                <w:color w:val="6C6361"/>
                <w:sz w:val="24"/>
                <w:szCs w:val="24"/>
              </w:rPr>
              <w:t>realised</w:t>
            </w:r>
            <w:proofErr w:type="spellEnd"/>
            <w:r w:rsidRPr="00E267AA">
              <w:rPr>
                <w:rFonts w:ascii="Arial" w:hAnsi="Arial" w:cs="Arial"/>
                <w:color w:val="6C6361"/>
                <w:sz w:val="24"/>
                <w:szCs w:val="24"/>
              </w:rPr>
              <w:t xml:space="preserve"> that having a domain name that is the same as their company name or the name of one of their products can be an extremely valuable part of establishing an Internet presence. </w:t>
            </w:r>
            <w:r>
              <w:rPr>
                <w:rFonts w:ascii="Arial" w:hAnsi="Arial" w:cs="Arial"/>
                <w:color w:val="6C6361"/>
                <w:sz w:val="24"/>
                <w:szCs w:val="24"/>
              </w:rPr>
              <w:t xml:space="preserve"> </w:t>
            </w:r>
            <w:r w:rsidRPr="00E267AA">
              <w:rPr>
                <w:rFonts w:ascii="Arial" w:hAnsi="Arial" w:cs="Arial"/>
                <w:color w:val="6C6361"/>
                <w:sz w:val="24"/>
                <w:szCs w:val="24"/>
              </w:rPr>
              <w:t xml:space="preserve">When a dispute over a domain name occurs the parties can always turn to the courts. </w:t>
            </w:r>
            <w:r>
              <w:rPr>
                <w:rFonts w:ascii="Arial" w:hAnsi="Arial" w:cs="Arial"/>
                <w:color w:val="6C6361"/>
                <w:sz w:val="24"/>
                <w:szCs w:val="24"/>
              </w:rPr>
              <w:t xml:space="preserve"> </w:t>
            </w:r>
            <w:r w:rsidRPr="00E267AA">
              <w:rPr>
                <w:rFonts w:ascii="Arial" w:hAnsi="Arial" w:cs="Arial"/>
                <w:color w:val="6C6361"/>
                <w:sz w:val="24"/>
                <w:szCs w:val="24"/>
              </w:rPr>
              <w:t xml:space="preserve">While courts and judges have the authority to award control and ownership over domain names (just as they have authority to award control and ownership over any other property), the judicial process is notoriously slow. </w:t>
            </w:r>
          </w:p>
          <w:p w:rsidR="00F81876" w:rsidRPr="00E267AA" w:rsidRDefault="00F81876" w:rsidP="00FA3713">
            <w:pPr>
              <w:rPr>
                <w:rFonts w:ascii="Arial" w:hAnsi="Arial" w:cs="Arial"/>
                <w:color w:val="6C6361"/>
                <w:sz w:val="12"/>
                <w:szCs w:val="12"/>
              </w:rPr>
            </w:pPr>
          </w:p>
          <w:p w:rsidR="00F81876" w:rsidRDefault="00F81876" w:rsidP="00FA3713">
            <w:pPr>
              <w:rPr>
                <w:rFonts w:ascii="Arial" w:hAnsi="Arial" w:cs="Arial"/>
                <w:color w:val="6C6361"/>
                <w:sz w:val="24"/>
                <w:szCs w:val="24"/>
              </w:rPr>
            </w:pPr>
            <w:r w:rsidRPr="00E267AA">
              <w:rPr>
                <w:rFonts w:ascii="Arial" w:hAnsi="Arial" w:cs="Arial"/>
                <w:color w:val="6C6361"/>
                <w:sz w:val="24"/>
                <w:szCs w:val="24"/>
              </w:rPr>
              <w:t xml:space="preserve">Consequently, many parties have avoided the courts and turned to the domain name dispute policies of the domain name registrars. </w:t>
            </w:r>
            <w:r>
              <w:rPr>
                <w:rFonts w:ascii="Arial" w:hAnsi="Arial" w:cs="Arial"/>
                <w:color w:val="6C6361"/>
                <w:sz w:val="24"/>
                <w:szCs w:val="24"/>
              </w:rPr>
              <w:t xml:space="preserve"> </w:t>
            </w:r>
            <w:r w:rsidRPr="00E267AA">
              <w:rPr>
                <w:rFonts w:ascii="Arial" w:hAnsi="Arial" w:cs="Arial"/>
                <w:color w:val="6C6361"/>
                <w:sz w:val="24"/>
                <w:szCs w:val="24"/>
              </w:rPr>
              <w:t xml:space="preserve">The best alternative to pursuing a domain name dispute through the courts is to take advantage of the domain name dispute policies that have been developed by the </w:t>
            </w:r>
            <w:proofErr w:type="spellStart"/>
            <w:r w:rsidRPr="00E267AA">
              <w:rPr>
                <w:rFonts w:ascii="Arial" w:hAnsi="Arial" w:cs="Arial"/>
                <w:color w:val="6C6361"/>
                <w:sz w:val="24"/>
                <w:szCs w:val="24"/>
              </w:rPr>
              <w:t>organisations</w:t>
            </w:r>
            <w:proofErr w:type="spellEnd"/>
            <w:r w:rsidRPr="00E267AA">
              <w:rPr>
                <w:rFonts w:ascii="Arial" w:hAnsi="Arial" w:cs="Arial"/>
                <w:color w:val="6C6361"/>
                <w:sz w:val="24"/>
                <w:szCs w:val="24"/>
              </w:rPr>
              <w:t xml:space="preserve"> that assign domain names which is the focus of this course. </w:t>
            </w:r>
            <w:r>
              <w:rPr>
                <w:rFonts w:ascii="Arial" w:hAnsi="Arial" w:cs="Arial"/>
                <w:color w:val="6C6361"/>
                <w:sz w:val="24"/>
                <w:szCs w:val="24"/>
              </w:rPr>
              <w:t xml:space="preserve"> </w:t>
            </w:r>
            <w:r w:rsidRPr="00E267AA">
              <w:rPr>
                <w:rFonts w:ascii="Arial" w:hAnsi="Arial" w:cs="Arial"/>
                <w:color w:val="6C6361"/>
                <w:sz w:val="24"/>
                <w:szCs w:val="24"/>
              </w:rPr>
              <w:t>The course focuses on the Uniform Domain-Name Dispute Resolution Policy (“UDRP”) which has been adopted by ICANN-acc</w:t>
            </w:r>
            <w:r>
              <w:rPr>
                <w:rFonts w:ascii="Arial" w:hAnsi="Arial" w:cs="Arial"/>
                <w:color w:val="6C6361"/>
                <w:sz w:val="24"/>
                <w:szCs w:val="24"/>
              </w:rPr>
              <w:t xml:space="preserve">redited registrars in all </w:t>
            </w:r>
            <w:proofErr w:type="spellStart"/>
            <w:r>
              <w:rPr>
                <w:rFonts w:ascii="Arial" w:hAnsi="Arial" w:cs="Arial"/>
                <w:color w:val="6C6361"/>
                <w:sz w:val="24"/>
                <w:szCs w:val="24"/>
              </w:rPr>
              <w:t>gTLDs</w:t>
            </w:r>
            <w:proofErr w:type="spellEnd"/>
            <w:r>
              <w:rPr>
                <w:rFonts w:ascii="Arial" w:hAnsi="Arial" w:cs="Arial"/>
                <w:color w:val="6C6361"/>
                <w:sz w:val="24"/>
                <w:szCs w:val="24"/>
              </w:rPr>
              <w:t xml:space="preserve"> </w:t>
            </w:r>
            <w:r w:rsidRPr="00E267AA">
              <w:rPr>
                <w:rFonts w:ascii="Arial" w:hAnsi="Arial" w:cs="Arial"/>
                <w:color w:val="6C6361"/>
                <w:sz w:val="24"/>
                <w:szCs w:val="24"/>
              </w:rPr>
              <w:t>(.aero, .</w:t>
            </w:r>
            <w:proofErr w:type="spellStart"/>
            <w:r w:rsidRPr="00E267AA">
              <w:rPr>
                <w:rFonts w:ascii="Arial" w:hAnsi="Arial" w:cs="Arial"/>
                <w:color w:val="6C6361"/>
                <w:sz w:val="24"/>
                <w:szCs w:val="24"/>
              </w:rPr>
              <w:t>asia</w:t>
            </w:r>
            <w:proofErr w:type="spellEnd"/>
            <w:r w:rsidRPr="00E267AA">
              <w:rPr>
                <w:rFonts w:ascii="Arial" w:hAnsi="Arial" w:cs="Arial"/>
                <w:color w:val="6C6361"/>
                <w:sz w:val="24"/>
                <w:szCs w:val="24"/>
              </w:rPr>
              <w:t>, .biz, .cat, .com, .coop, .info, .jo</w:t>
            </w:r>
            <w:r>
              <w:rPr>
                <w:rFonts w:ascii="Arial" w:hAnsi="Arial" w:cs="Arial"/>
                <w:color w:val="6C6361"/>
                <w:sz w:val="24"/>
                <w:szCs w:val="24"/>
              </w:rPr>
              <w:t>bs, .</w:t>
            </w:r>
            <w:proofErr w:type="spellStart"/>
            <w:r>
              <w:rPr>
                <w:rFonts w:ascii="Arial" w:hAnsi="Arial" w:cs="Arial"/>
                <w:color w:val="6C6361"/>
                <w:sz w:val="24"/>
                <w:szCs w:val="24"/>
              </w:rPr>
              <w:t>mobi</w:t>
            </w:r>
            <w:proofErr w:type="spellEnd"/>
            <w:r>
              <w:rPr>
                <w:rFonts w:ascii="Arial" w:hAnsi="Arial" w:cs="Arial"/>
                <w:color w:val="6C6361"/>
                <w:sz w:val="24"/>
                <w:szCs w:val="24"/>
              </w:rPr>
              <w:t xml:space="preserve">, </w:t>
            </w:r>
            <w:r w:rsidRPr="00E267AA">
              <w:rPr>
                <w:rFonts w:ascii="Arial" w:hAnsi="Arial" w:cs="Arial"/>
                <w:color w:val="6C6361"/>
                <w:sz w:val="24"/>
                <w:szCs w:val="24"/>
              </w:rPr>
              <w:t>.m</w:t>
            </w:r>
            <w:r>
              <w:rPr>
                <w:rFonts w:ascii="Arial" w:hAnsi="Arial" w:cs="Arial"/>
                <w:color w:val="6C6361"/>
                <w:sz w:val="24"/>
                <w:szCs w:val="24"/>
              </w:rPr>
              <w:t>useum,</w:t>
            </w:r>
          </w:p>
          <w:p w:rsidR="00F81876" w:rsidRDefault="00F81876" w:rsidP="00FA3713">
            <w:pPr>
              <w:rPr>
                <w:rFonts w:ascii="Arial" w:hAnsi="Arial" w:cs="Arial"/>
                <w:color w:val="6C6361"/>
                <w:sz w:val="24"/>
                <w:szCs w:val="24"/>
              </w:rPr>
            </w:pPr>
            <w:r>
              <w:rPr>
                <w:rFonts w:ascii="Arial" w:hAnsi="Arial" w:cs="Arial"/>
                <w:color w:val="6C6361"/>
                <w:sz w:val="24"/>
                <w:szCs w:val="24"/>
              </w:rPr>
              <w:t xml:space="preserve">.name, .net, .org, .pro, </w:t>
            </w:r>
            <w:r w:rsidRPr="00E267AA">
              <w:rPr>
                <w:rFonts w:ascii="Arial" w:hAnsi="Arial" w:cs="Arial"/>
                <w:color w:val="6C6361"/>
                <w:sz w:val="24"/>
                <w:szCs w:val="24"/>
              </w:rPr>
              <w:t>.</w:t>
            </w:r>
            <w:proofErr w:type="spellStart"/>
            <w:r w:rsidRPr="00E267AA">
              <w:rPr>
                <w:rFonts w:ascii="Arial" w:hAnsi="Arial" w:cs="Arial"/>
                <w:color w:val="6C6361"/>
                <w:sz w:val="24"/>
                <w:szCs w:val="24"/>
              </w:rPr>
              <w:t>tel</w:t>
            </w:r>
            <w:proofErr w:type="spellEnd"/>
            <w:r w:rsidRPr="00E267AA">
              <w:rPr>
                <w:rFonts w:ascii="Arial" w:hAnsi="Arial" w:cs="Arial"/>
                <w:color w:val="6C6361"/>
                <w:sz w:val="24"/>
                <w:szCs w:val="24"/>
              </w:rPr>
              <w:t xml:space="preserve"> and .travel). </w:t>
            </w:r>
            <w:r>
              <w:rPr>
                <w:rFonts w:ascii="Arial" w:hAnsi="Arial" w:cs="Arial"/>
                <w:color w:val="6C6361"/>
                <w:sz w:val="24"/>
                <w:szCs w:val="24"/>
              </w:rPr>
              <w:t xml:space="preserve"> </w:t>
            </w:r>
            <w:r w:rsidRPr="00E267AA">
              <w:rPr>
                <w:rFonts w:ascii="Arial" w:hAnsi="Arial" w:cs="Arial"/>
                <w:color w:val="6C6361"/>
                <w:sz w:val="24"/>
                <w:szCs w:val="24"/>
              </w:rPr>
              <w:t>The UDRP is a policy between a registrar and its customer and is included in registration agreements for all ICANN-accredited registrars.</w:t>
            </w:r>
          </w:p>
          <w:p w:rsidR="00F81876" w:rsidRPr="00E267AA" w:rsidRDefault="00F81876" w:rsidP="00FA3713">
            <w:pPr>
              <w:rPr>
                <w:rFonts w:ascii="Arial" w:hAnsi="Arial" w:cs="Arial"/>
                <w:color w:val="6C6361"/>
                <w:sz w:val="12"/>
                <w:szCs w:val="12"/>
              </w:rPr>
            </w:pPr>
          </w:p>
          <w:p w:rsidR="00F81876" w:rsidRPr="00E267AA" w:rsidRDefault="00F81876" w:rsidP="00FA3713">
            <w:pPr>
              <w:rPr>
                <w:rFonts w:ascii="Arial" w:hAnsi="Arial" w:cs="Arial"/>
                <w:color w:val="6C6361"/>
                <w:sz w:val="24"/>
                <w:szCs w:val="24"/>
              </w:rPr>
            </w:pPr>
            <w:r w:rsidRPr="00E267AA">
              <w:rPr>
                <w:rFonts w:ascii="Arial" w:hAnsi="Arial" w:cs="Arial"/>
                <w:color w:val="6C6361"/>
                <w:sz w:val="24"/>
                <w:szCs w:val="24"/>
              </w:rPr>
              <w:t>At the end of the course, participants should be able to:</w:t>
            </w:r>
          </w:p>
          <w:p w:rsidR="00F81876" w:rsidRPr="00E267AA" w:rsidRDefault="00F81876" w:rsidP="00FA3713">
            <w:pPr>
              <w:pStyle w:val="ListParagraph"/>
              <w:numPr>
                <w:ilvl w:val="0"/>
                <w:numId w:val="2"/>
              </w:numPr>
              <w:rPr>
                <w:rFonts w:ascii="Arial" w:hAnsi="Arial" w:cs="Arial"/>
                <w:color w:val="6C6361"/>
                <w:sz w:val="24"/>
                <w:szCs w:val="24"/>
              </w:rPr>
            </w:pPr>
            <w:r w:rsidRPr="00E267AA">
              <w:rPr>
                <w:rFonts w:ascii="Arial" w:hAnsi="Arial" w:cs="Arial"/>
                <w:color w:val="6C6361"/>
                <w:sz w:val="24"/>
                <w:szCs w:val="24"/>
              </w:rPr>
              <w:t>Critically evaluate ongoing developments in law relating to information technologies</w:t>
            </w:r>
            <w:r>
              <w:rPr>
                <w:rFonts w:ascii="Arial" w:hAnsi="Arial" w:cs="Arial"/>
                <w:color w:val="6C6361"/>
                <w:sz w:val="24"/>
                <w:szCs w:val="24"/>
              </w:rPr>
              <w:t>;</w:t>
            </w:r>
          </w:p>
          <w:p w:rsidR="00F81876" w:rsidRPr="00E267AA" w:rsidRDefault="00F81876" w:rsidP="00FA3713">
            <w:pPr>
              <w:pStyle w:val="ListParagraph"/>
              <w:numPr>
                <w:ilvl w:val="0"/>
                <w:numId w:val="2"/>
              </w:numPr>
              <w:rPr>
                <w:rFonts w:ascii="Arial" w:hAnsi="Arial" w:cs="Arial"/>
                <w:color w:val="6C6361"/>
                <w:sz w:val="24"/>
                <w:szCs w:val="24"/>
              </w:rPr>
            </w:pPr>
            <w:r w:rsidRPr="00E267AA">
              <w:rPr>
                <w:rFonts w:ascii="Arial" w:hAnsi="Arial" w:cs="Arial"/>
                <w:color w:val="6C6361"/>
                <w:sz w:val="24"/>
                <w:szCs w:val="24"/>
              </w:rPr>
              <w:t>Display an understanding of how these dev</w:t>
            </w:r>
            <w:r>
              <w:rPr>
                <w:rFonts w:ascii="Arial" w:hAnsi="Arial" w:cs="Arial"/>
                <w:color w:val="6C6361"/>
                <w:sz w:val="24"/>
                <w:szCs w:val="24"/>
              </w:rPr>
              <w:t>elopments relate to one another;</w:t>
            </w:r>
          </w:p>
          <w:p w:rsidR="00F81876" w:rsidRPr="00E267AA" w:rsidRDefault="00F81876" w:rsidP="00FA3713">
            <w:pPr>
              <w:pStyle w:val="ListParagraph"/>
              <w:numPr>
                <w:ilvl w:val="0"/>
                <w:numId w:val="2"/>
              </w:numPr>
              <w:rPr>
                <w:rFonts w:ascii="Arial" w:hAnsi="Arial" w:cs="Arial"/>
                <w:color w:val="6C6361"/>
                <w:sz w:val="24"/>
                <w:szCs w:val="24"/>
              </w:rPr>
            </w:pPr>
            <w:r w:rsidRPr="00E267AA">
              <w:rPr>
                <w:rFonts w:ascii="Arial" w:hAnsi="Arial" w:cs="Arial"/>
                <w:color w:val="6C6361"/>
                <w:sz w:val="24"/>
                <w:szCs w:val="24"/>
              </w:rPr>
              <w:t>Examine applicable principles to internet domain name disputes;</w:t>
            </w:r>
          </w:p>
          <w:p w:rsidR="00F81876" w:rsidRPr="00E267AA" w:rsidRDefault="00F81876" w:rsidP="00FA3713">
            <w:pPr>
              <w:pStyle w:val="ListParagraph"/>
              <w:numPr>
                <w:ilvl w:val="0"/>
                <w:numId w:val="2"/>
              </w:numPr>
              <w:rPr>
                <w:rFonts w:ascii="Arial" w:hAnsi="Arial" w:cs="Arial"/>
                <w:color w:val="6C6361"/>
                <w:sz w:val="24"/>
                <w:szCs w:val="24"/>
              </w:rPr>
            </w:pPr>
            <w:r w:rsidRPr="00E267AA">
              <w:rPr>
                <w:rFonts w:ascii="Arial" w:hAnsi="Arial" w:cs="Arial"/>
                <w:color w:val="6C6361"/>
                <w:sz w:val="24"/>
                <w:szCs w:val="24"/>
              </w:rPr>
              <w:t>Understand the role of the Asian Domain Name Dis</w:t>
            </w:r>
            <w:r>
              <w:rPr>
                <w:rFonts w:ascii="Arial" w:hAnsi="Arial" w:cs="Arial"/>
                <w:color w:val="6C6361"/>
                <w:sz w:val="24"/>
                <w:szCs w:val="24"/>
              </w:rPr>
              <w:t>pute Resolution Centre (ADNDRC);</w:t>
            </w:r>
          </w:p>
          <w:p w:rsidR="00F81876" w:rsidRPr="00E267AA" w:rsidRDefault="00F81876" w:rsidP="00FA3713">
            <w:pPr>
              <w:pStyle w:val="ListParagraph"/>
              <w:numPr>
                <w:ilvl w:val="0"/>
                <w:numId w:val="2"/>
              </w:numPr>
              <w:rPr>
                <w:rFonts w:ascii="Arial" w:hAnsi="Arial" w:cs="Arial"/>
                <w:color w:val="6C6361"/>
                <w:sz w:val="24"/>
                <w:szCs w:val="24"/>
              </w:rPr>
            </w:pPr>
            <w:r w:rsidRPr="00E267AA">
              <w:rPr>
                <w:rFonts w:ascii="Arial" w:hAnsi="Arial" w:cs="Arial"/>
                <w:color w:val="6C6361"/>
                <w:sz w:val="24"/>
                <w:szCs w:val="24"/>
              </w:rPr>
              <w:t>Understand the role of the Hong K</w:t>
            </w:r>
            <w:r>
              <w:rPr>
                <w:rFonts w:ascii="Arial" w:hAnsi="Arial" w:cs="Arial"/>
                <w:color w:val="6C6361"/>
                <w:sz w:val="24"/>
                <w:szCs w:val="24"/>
              </w:rPr>
              <w:t>ong International Arbitration C</w:t>
            </w:r>
            <w:r w:rsidRPr="00E267AA">
              <w:rPr>
                <w:rFonts w:ascii="Arial" w:hAnsi="Arial" w:cs="Arial"/>
                <w:color w:val="6C6361"/>
                <w:sz w:val="24"/>
                <w:szCs w:val="24"/>
              </w:rPr>
              <w:t>e</w:t>
            </w:r>
            <w:r>
              <w:rPr>
                <w:rFonts w:ascii="Arial" w:hAnsi="Arial" w:cs="Arial"/>
                <w:color w:val="6C6361"/>
                <w:sz w:val="24"/>
                <w:szCs w:val="24"/>
              </w:rPr>
              <w:t>nt</w:t>
            </w:r>
            <w:r w:rsidRPr="00E267AA">
              <w:rPr>
                <w:rFonts w:ascii="Arial" w:hAnsi="Arial" w:cs="Arial"/>
                <w:color w:val="6C6361"/>
                <w:sz w:val="24"/>
                <w:szCs w:val="24"/>
              </w:rPr>
              <w:t>r</w:t>
            </w:r>
            <w:r>
              <w:rPr>
                <w:rFonts w:ascii="Arial" w:hAnsi="Arial" w:cs="Arial"/>
                <w:color w:val="6C6361"/>
                <w:sz w:val="24"/>
                <w:szCs w:val="24"/>
              </w:rPr>
              <w:t>e</w:t>
            </w:r>
            <w:r w:rsidRPr="00E267AA">
              <w:rPr>
                <w:rFonts w:ascii="Arial" w:hAnsi="Arial" w:cs="Arial"/>
                <w:color w:val="6C6361"/>
                <w:sz w:val="24"/>
                <w:szCs w:val="24"/>
              </w:rPr>
              <w:t xml:space="preserve"> (HKIAC);</w:t>
            </w:r>
          </w:p>
          <w:p w:rsidR="00F81876" w:rsidRPr="00E267AA" w:rsidRDefault="00F81876" w:rsidP="00FA3713">
            <w:pPr>
              <w:pStyle w:val="ListParagraph"/>
              <w:numPr>
                <w:ilvl w:val="0"/>
                <w:numId w:val="2"/>
              </w:numPr>
              <w:rPr>
                <w:rFonts w:ascii="Arial" w:hAnsi="Arial" w:cs="Arial"/>
                <w:color w:val="6C6361"/>
                <w:sz w:val="24"/>
                <w:szCs w:val="24"/>
              </w:rPr>
            </w:pPr>
            <w:r w:rsidRPr="00E267AA">
              <w:rPr>
                <w:rFonts w:ascii="Arial" w:hAnsi="Arial" w:cs="Arial"/>
                <w:color w:val="6C6361"/>
                <w:sz w:val="24"/>
                <w:szCs w:val="24"/>
              </w:rPr>
              <w:t>Evaluate those rules and theories in terms of internal coherence and practical outcomes;</w:t>
            </w:r>
          </w:p>
          <w:p w:rsidR="00F81876" w:rsidRPr="00E267AA" w:rsidRDefault="00F81876" w:rsidP="00FA3713">
            <w:pPr>
              <w:pStyle w:val="ListParagraph"/>
              <w:numPr>
                <w:ilvl w:val="0"/>
                <w:numId w:val="2"/>
              </w:numPr>
              <w:rPr>
                <w:rFonts w:ascii="Arial" w:hAnsi="Arial" w:cs="Arial"/>
                <w:color w:val="6C6361"/>
                <w:sz w:val="24"/>
                <w:szCs w:val="24"/>
              </w:rPr>
            </w:pPr>
            <w:r w:rsidRPr="00E267AA">
              <w:rPr>
                <w:rFonts w:ascii="Arial" w:hAnsi="Arial" w:cs="Arial"/>
                <w:color w:val="6C6361"/>
                <w:sz w:val="24"/>
                <w:szCs w:val="24"/>
              </w:rPr>
              <w:t>Draw on the analysis and evaluation contained in primary and secondary sources.</w:t>
            </w:r>
          </w:p>
        </w:tc>
      </w:tr>
    </w:tbl>
    <w:p w:rsidR="00F81876" w:rsidRDefault="00F81876" w:rsidP="00F81876">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F81876" w:rsidRPr="00390282" w:rsidTr="00FA3713">
        <w:trPr>
          <w:trHeight w:val="454"/>
          <w:jc w:val="center"/>
        </w:trPr>
        <w:tc>
          <w:tcPr>
            <w:tcW w:w="10773" w:type="dxa"/>
            <w:gridSpan w:val="2"/>
            <w:tcBorders>
              <w:top w:val="nil"/>
              <w:bottom w:val="nil"/>
            </w:tcBorders>
            <w:shd w:val="clear" w:color="auto" w:fill="FFFFFF" w:themeFill="background1"/>
            <w:vAlign w:val="center"/>
          </w:tcPr>
          <w:p w:rsidR="00F81876" w:rsidRPr="00A3664C" w:rsidRDefault="00F81876" w:rsidP="00FA3713">
            <w:pPr>
              <w:jc w:val="center"/>
              <w:rPr>
                <w:rFonts w:ascii="Arial" w:hAnsi="Arial" w:cs="Arial"/>
                <w:b/>
                <w:color w:val="6C6361"/>
                <w:sz w:val="24"/>
                <w:szCs w:val="24"/>
              </w:rPr>
            </w:pPr>
            <w:r w:rsidRPr="00A3664C">
              <w:rPr>
                <w:rFonts w:ascii="Arial" w:hAnsi="Arial" w:cs="Arial"/>
                <w:b/>
                <w:color w:val="6C6361"/>
                <w:sz w:val="24"/>
                <w:szCs w:val="24"/>
              </w:rPr>
              <w:t>Course Outline:</w:t>
            </w:r>
          </w:p>
        </w:tc>
      </w:tr>
      <w:tr w:rsidR="00F81876" w:rsidRPr="00390282" w:rsidTr="00FA3713">
        <w:trPr>
          <w:trHeight w:val="454"/>
          <w:jc w:val="center"/>
        </w:trPr>
        <w:tc>
          <w:tcPr>
            <w:tcW w:w="10773" w:type="dxa"/>
            <w:gridSpan w:val="2"/>
            <w:tcBorders>
              <w:top w:val="nil"/>
              <w:bottom w:val="nil"/>
            </w:tcBorders>
            <w:shd w:val="clear" w:color="auto" w:fill="F0EBE1"/>
            <w:vAlign w:val="center"/>
          </w:tcPr>
          <w:p w:rsidR="00F81876" w:rsidRPr="00390282" w:rsidRDefault="00F81876" w:rsidP="00FA3713">
            <w:pPr>
              <w:rPr>
                <w:rFonts w:ascii="Arial" w:hAnsi="Arial" w:cs="Arial"/>
                <w:b/>
                <w:color w:val="524B48"/>
                <w:sz w:val="24"/>
                <w:szCs w:val="24"/>
              </w:rPr>
            </w:pPr>
            <w:r>
              <w:rPr>
                <w:rFonts w:ascii="Arial" w:hAnsi="Arial" w:cs="Arial"/>
                <w:b/>
                <w:color w:val="524B48"/>
                <w:sz w:val="24"/>
                <w:szCs w:val="24"/>
              </w:rPr>
              <w:t>Contents:</w:t>
            </w:r>
          </w:p>
        </w:tc>
      </w:tr>
      <w:tr w:rsidR="00F81876" w:rsidRPr="00390282" w:rsidTr="00FA3713">
        <w:trPr>
          <w:trHeight w:val="1932"/>
          <w:jc w:val="center"/>
        </w:trPr>
        <w:tc>
          <w:tcPr>
            <w:tcW w:w="9072" w:type="dxa"/>
            <w:tcBorders>
              <w:top w:val="nil"/>
              <w:bottom w:val="nil"/>
              <w:right w:val="nil"/>
            </w:tcBorders>
            <w:shd w:val="clear" w:color="auto" w:fill="FFFFFF"/>
            <w:vAlign w:val="center"/>
          </w:tcPr>
          <w:p w:rsidR="00F81876" w:rsidRPr="00572766" w:rsidRDefault="00F81876" w:rsidP="00FA3713">
            <w:pPr>
              <w:pStyle w:val="ListParagraph"/>
              <w:numPr>
                <w:ilvl w:val="0"/>
                <w:numId w:val="2"/>
              </w:numPr>
              <w:rPr>
                <w:rFonts w:ascii="Arial" w:hAnsi="Arial" w:cs="Arial"/>
                <w:color w:val="6C6361"/>
                <w:sz w:val="24"/>
                <w:szCs w:val="24"/>
              </w:rPr>
            </w:pPr>
            <w:r w:rsidRPr="00572766">
              <w:rPr>
                <w:rFonts w:ascii="Arial" w:hAnsi="Arial" w:cs="Arial"/>
                <w:color w:val="6C6361"/>
                <w:sz w:val="24"/>
                <w:szCs w:val="24"/>
              </w:rPr>
              <w:t>Online infringements and</w:t>
            </w:r>
            <w:r>
              <w:rPr>
                <w:rFonts w:ascii="Arial" w:hAnsi="Arial" w:cs="Arial"/>
                <w:color w:val="6C6361"/>
                <w:sz w:val="24"/>
                <w:szCs w:val="24"/>
              </w:rPr>
              <w:t xml:space="preserve"> domain name dispute resolution</w:t>
            </w:r>
          </w:p>
          <w:p w:rsidR="00F81876" w:rsidRPr="00572766" w:rsidRDefault="00F81876" w:rsidP="00FA3713">
            <w:pPr>
              <w:pStyle w:val="ListParagraph"/>
              <w:numPr>
                <w:ilvl w:val="0"/>
                <w:numId w:val="2"/>
              </w:numPr>
              <w:rPr>
                <w:rFonts w:ascii="Arial" w:hAnsi="Arial" w:cs="Arial"/>
                <w:color w:val="6C6361"/>
                <w:sz w:val="24"/>
                <w:szCs w:val="24"/>
              </w:rPr>
            </w:pPr>
            <w:r>
              <w:rPr>
                <w:rFonts w:ascii="Arial" w:hAnsi="Arial" w:cs="Arial"/>
                <w:color w:val="6C6361"/>
                <w:sz w:val="24"/>
                <w:szCs w:val="24"/>
              </w:rPr>
              <w:t>The Three Elements -</w:t>
            </w:r>
            <w:r w:rsidRPr="00572766">
              <w:rPr>
                <w:rFonts w:ascii="Arial" w:hAnsi="Arial" w:cs="Arial"/>
                <w:color w:val="6C6361"/>
                <w:sz w:val="24"/>
                <w:szCs w:val="24"/>
              </w:rPr>
              <w:t xml:space="preserve"> Identity and confusing similarity</w:t>
            </w:r>
          </w:p>
          <w:p w:rsidR="00F81876" w:rsidRPr="00572766" w:rsidRDefault="00F81876" w:rsidP="00FA3713">
            <w:pPr>
              <w:pStyle w:val="ListParagraph"/>
              <w:numPr>
                <w:ilvl w:val="0"/>
                <w:numId w:val="2"/>
              </w:numPr>
              <w:rPr>
                <w:rFonts w:ascii="Arial" w:hAnsi="Arial" w:cs="Arial"/>
                <w:color w:val="6C6361"/>
                <w:sz w:val="24"/>
                <w:szCs w:val="24"/>
              </w:rPr>
            </w:pPr>
            <w:r>
              <w:rPr>
                <w:rFonts w:ascii="Arial" w:hAnsi="Arial" w:cs="Arial"/>
                <w:color w:val="6C6361"/>
                <w:sz w:val="24"/>
                <w:szCs w:val="24"/>
              </w:rPr>
              <w:t>The Three Elements -</w:t>
            </w:r>
            <w:r w:rsidRPr="00572766">
              <w:rPr>
                <w:rFonts w:ascii="Arial" w:hAnsi="Arial" w:cs="Arial"/>
                <w:color w:val="6C6361"/>
                <w:sz w:val="24"/>
                <w:szCs w:val="24"/>
              </w:rPr>
              <w:t xml:space="preserve"> Legitimate rights of the respondent</w:t>
            </w:r>
          </w:p>
          <w:p w:rsidR="00F81876" w:rsidRPr="00572766" w:rsidRDefault="00F81876" w:rsidP="00FA3713">
            <w:pPr>
              <w:pStyle w:val="ListParagraph"/>
              <w:numPr>
                <w:ilvl w:val="0"/>
                <w:numId w:val="2"/>
              </w:numPr>
              <w:rPr>
                <w:rFonts w:ascii="Arial" w:hAnsi="Arial" w:cs="Arial"/>
                <w:color w:val="6C6361"/>
                <w:sz w:val="24"/>
                <w:szCs w:val="24"/>
              </w:rPr>
            </w:pPr>
            <w:r>
              <w:rPr>
                <w:rFonts w:ascii="Arial" w:hAnsi="Arial" w:cs="Arial"/>
                <w:color w:val="6C6361"/>
                <w:sz w:val="24"/>
                <w:szCs w:val="24"/>
              </w:rPr>
              <w:t>The Three Elements - Bad faith</w:t>
            </w:r>
          </w:p>
          <w:p w:rsidR="00F81876" w:rsidRPr="00C15038" w:rsidRDefault="00F81876" w:rsidP="00FA3713">
            <w:pPr>
              <w:pStyle w:val="ListParagraph"/>
              <w:numPr>
                <w:ilvl w:val="0"/>
                <w:numId w:val="2"/>
              </w:numPr>
              <w:rPr>
                <w:rFonts w:ascii="Arial" w:hAnsi="Arial" w:cs="Arial"/>
                <w:b/>
                <w:color w:val="6C6361"/>
                <w:sz w:val="24"/>
                <w:szCs w:val="24"/>
              </w:rPr>
            </w:pPr>
            <w:r w:rsidRPr="00572766">
              <w:rPr>
                <w:rFonts w:ascii="Arial" w:hAnsi="Arial" w:cs="Arial"/>
                <w:color w:val="6C6361"/>
                <w:sz w:val="24"/>
                <w:szCs w:val="24"/>
              </w:rPr>
              <w:t>Practical guide on preparing submissions and deciding domain name disputes</w:t>
            </w:r>
          </w:p>
        </w:tc>
        <w:tc>
          <w:tcPr>
            <w:tcW w:w="1701" w:type="dxa"/>
            <w:tcBorders>
              <w:top w:val="nil"/>
              <w:left w:val="nil"/>
              <w:bottom w:val="nil"/>
            </w:tcBorders>
            <w:shd w:val="clear" w:color="auto" w:fill="FFFFFF"/>
            <w:vAlign w:val="center"/>
          </w:tcPr>
          <w:p w:rsidR="00F81876" w:rsidRPr="004B6A88" w:rsidRDefault="00F81876" w:rsidP="00FA3713">
            <w:pPr>
              <w:jc w:val="center"/>
              <w:rPr>
                <w:rFonts w:ascii="Arial" w:hAnsi="Arial" w:cs="Arial"/>
                <w:b/>
                <w:color w:val="6C6361"/>
                <w:sz w:val="24"/>
                <w:szCs w:val="24"/>
              </w:rPr>
            </w:pPr>
            <w:r w:rsidRPr="00C611A1">
              <w:rPr>
                <w:rFonts w:ascii="Arial" w:hAnsi="Arial" w:cs="Arial"/>
                <w:b/>
                <w:noProof/>
                <w:color w:val="6C6361"/>
                <w:sz w:val="24"/>
                <w:szCs w:val="24"/>
              </w:rPr>
              <w:drawing>
                <wp:inline distT="0" distB="0" distL="0" distR="0" wp14:anchorId="4C5F39AC" wp14:editId="7C344AAE">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F81876" w:rsidRDefault="00F81876" w:rsidP="00F81876">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8"/>
        <w:gridCol w:w="2869"/>
        <w:gridCol w:w="794"/>
        <w:gridCol w:w="1700"/>
        <w:gridCol w:w="2482"/>
        <w:gridCol w:w="1239"/>
      </w:tblGrid>
      <w:tr w:rsidR="00F81876" w:rsidRPr="00320F79" w:rsidTr="00FA3713">
        <w:trPr>
          <w:trHeight w:val="397"/>
          <w:jc w:val="center"/>
        </w:trPr>
        <w:tc>
          <w:tcPr>
            <w:tcW w:w="1688" w:type="dxa"/>
            <w:tcBorders>
              <w:top w:val="nil"/>
              <w:left w:val="nil"/>
              <w:bottom w:val="single" w:sz="12" w:space="0" w:color="FFFFFF"/>
            </w:tcBorders>
            <w:shd w:val="clear" w:color="auto" w:fill="F0EBE1"/>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63" w:type="dxa"/>
            <w:gridSpan w:val="2"/>
            <w:tcBorders>
              <w:top w:val="nil"/>
              <w:bottom w:val="single" w:sz="12" w:space="0" w:color="F0EBE1"/>
            </w:tcBorders>
            <w:shd w:val="clear" w:color="auto" w:fill="FFFFFF"/>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EVT000000101</w:t>
            </w:r>
          </w:p>
        </w:tc>
        <w:tc>
          <w:tcPr>
            <w:tcW w:w="1700" w:type="dxa"/>
            <w:tcBorders>
              <w:top w:val="nil"/>
              <w:bottom w:val="single" w:sz="12" w:space="0" w:color="FFFFFF"/>
            </w:tcBorders>
            <w:shd w:val="clear" w:color="auto" w:fill="F0EBE1"/>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21" w:type="dxa"/>
            <w:gridSpan w:val="2"/>
            <w:tcBorders>
              <w:top w:val="nil"/>
              <w:bottom w:val="single" w:sz="12" w:space="0" w:color="F0EBE1"/>
              <w:right w:val="nil"/>
            </w:tcBorders>
            <w:shd w:val="clear" w:color="auto" w:fill="FFFFFF"/>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81876" w:rsidRPr="00320F79" w:rsidTr="00FA3713">
        <w:trPr>
          <w:trHeight w:val="397"/>
          <w:jc w:val="center"/>
        </w:trPr>
        <w:tc>
          <w:tcPr>
            <w:tcW w:w="1688" w:type="dxa"/>
            <w:tcBorders>
              <w:top w:val="single" w:sz="12" w:space="0" w:color="FFFFFF"/>
              <w:left w:val="nil"/>
              <w:bottom w:val="single" w:sz="12" w:space="0" w:color="FFFFFF"/>
            </w:tcBorders>
            <w:shd w:val="clear" w:color="auto" w:fill="F0EBE1"/>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63" w:type="dxa"/>
            <w:gridSpan w:val="2"/>
            <w:tcBorders>
              <w:top w:val="single" w:sz="12" w:space="0" w:color="F0EBE1"/>
              <w:bottom w:val="single" w:sz="12" w:space="0" w:color="F0EBE1"/>
            </w:tcBorders>
            <w:shd w:val="clear" w:color="auto" w:fill="FFFFFF"/>
            <w:vAlign w:val="center"/>
          </w:tcPr>
          <w:p w:rsidR="00F81876"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30 November</w:t>
            </w:r>
            <w:r w:rsidRPr="00C15038">
              <w:rPr>
                <w:rFonts w:ascii="Arial" w:hAnsi="Arial" w:cs="Arial"/>
                <w:b/>
                <w:color w:val="6C6361"/>
                <w:sz w:val="20"/>
                <w:szCs w:val="20"/>
              </w:rPr>
              <w:t xml:space="preserve"> 2015 (Monday)</w:t>
            </w:r>
          </w:p>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0" w:type="dxa"/>
            <w:tcBorders>
              <w:top w:val="single" w:sz="12" w:space="0" w:color="FFFFFF"/>
              <w:bottom w:val="single" w:sz="12" w:space="0" w:color="FFFFFF"/>
            </w:tcBorders>
            <w:shd w:val="clear" w:color="auto" w:fill="F0EBE1"/>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21" w:type="dxa"/>
            <w:gridSpan w:val="2"/>
            <w:tcBorders>
              <w:top w:val="single" w:sz="12" w:space="0" w:color="F0EBE1"/>
              <w:bottom w:val="single" w:sz="12" w:space="0" w:color="F0EBE1"/>
              <w:right w:val="nil"/>
            </w:tcBorders>
            <w:shd w:val="clear" w:color="auto" w:fill="FFFFFF"/>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F81876" w:rsidRPr="00320F79" w:rsidTr="00FA3713">
        <w:trPr>
          <w:trHeight w:val="397"/>
          <w:jc w:val="center"/>
        </w:trPr>
        <w:tc>
          <w:tcPr>
            <w:tcW w:w="1688" w:type="dxa"/>
            <w:tcBorders>
              <w:top w:val="single" w:sz="12" w:space="0" w:color="FFFFFF"/>
              <w:left w:val="nil"/>
              <w:bottom w:val="single" w:sz="12" w:space="0" w:color="FFFFFF"/>
            </w:tcBorders>
            <w:shd w:val="clear" w:color="auto" w:fill="F0EBE1"/>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63" w:type="dxa"/>
            <w:gridSpan w:val="2"/>
            <w:tcBorders>
              <w:top w:val="single" w:sz="12" w:space="0" w:color="F0EBE1"/>
              <w:bottom w:val="single" w:sz="12" w:space="0" w:color="F0EBE1"/>
            </w:tcBorders>
            <w:shd w:val="clear" w:color="auto" w:fill="FFFFFF"/>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w:t>
            </w:r>
            <w:r w:rsidRPr="00320F79">
              <w:rPr>
                <w:rFonts w:ascii="Arial" w:hAnsi="Arial" w:cs="Arial"/>
                <w:b/>
                <w:color w:val="6C6361"/>
                <w:sz w:val="20"/>
                <w:szCs w:val="20"/>
              </w:rPr>
              <w:t>0 - 1</w:t>
            </w:r>
            <w:r>
              <w:rPr>
                <w:rFonts w:ascii="Arial" w:hAnsi="Arial" w:cs="Arial"/>
                <w:b/>
                <w:color w:val="6C6361"/>
                <w:sz w:val="20"/>
                <w:szCs w:val="20"/>
              </w:rPr>
              <w:t>2:45 (Amended)</w:t>
            </w:r>
          </w:p>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09:0</w:t>
            </w:r>
            <w:r w:rsidRPr="00320F79">
              <w:rPr>
                <w:rFonts w:ascii="Arial" w:hAnsi="Arial" w:cs="Arial"/>
                <w:color w:val="6C6361"/>
                <w:sz w:val="20"/>
                <w:szCs w:val="20"/>
              </w:rPr>
              <w:t>0)</w:t>
            </w:r>
          </w:p>
        </w:tc>
        <w:tc>
          <w:tcPr>
            <w:tcW w:w="1700" w:type="dxa"/>
            <w:tcBorders>
              <w:top w:val="single" w:sz="12" w:space="0" w:color="FFFFFF"/>
              <w:bottom w:val="single" w:sz="12" w:space="0" w:color="FFFFFF"/>
            </w:tcBorders>
            <w:shd w:val="clear" w:color="auto" w:fill="F0EBE1"/>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21" w:type="dxa"/>
            <w:gridSpan w:val="2"/>
            <w:tcBorders>
              <w:top w:val="single" w:sz="12" w:space="0" w:color="F0EBE1"/>
              <w:bottom w:val="single" w:sz="12" w:space="0" w:color="F0EBE1"/>
              <w:right w:val="nil"/>
            </w:tcBorders>
            <w:shd w:val="clear" w:color="auto" w:fill="FFFFFF"/>
            <w:vAlign w:val="center"/>
          </w:tcPr>
          <w:p w:rsidR="00F81876"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F81876" w:rsidRPr="00156895"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156895">
              <w:rPr>
                <w:rFonts w:ascii="Arial" w:hAnsi="Arial" w:cs="Arial"/>
                <w:color w:val="6C6361"/>
                <w:sz w:val="20"/>
                <w:szCs w:val="20"/>
              </w:rPr>
              <w:t>(LSHK Allocated Number: 20153471)</w:t>
            </w:r>
          </w:p>
        </w:tc>
      </w:tr>
      <w:tr w:rsidR="00F81876" w:rsidRPr="00320F79" w:rsidTr="00FA3713">
        <w:trPr>
          <w:trHeight w:val="1247"/>
          <w:jc w:val="center"/>
        </w:trPr>
        <w:tc>
          <w:tcPr>
            <w:tcW w:w="1688" w:type="dxa"/>
            <w:tcBorders>
              <w:top w:val="single" w:sz="12" w:space="0" w:color="FFFFFF"/>
              <w:left w:val="nil"/>
              <w:bottom w:val="nil"/>
            </w:tcBorders>
            <w:shd w:val="clear" w:color="auto" w:fill="F0EBE1"/>
            <w:vAlign w:val="center"/>
          </w:tcPr>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69" w:type="dxa"/>
            <w:tcBorders>
              <w:top w:val="single" w:sz="12" w:space="0" w:color="F0EBE1"/>
              <w:bottom w:val="nil"/>
              <w:right w:val="nil"/>
            </w:tcBorders>
            <w:shd w:val="clear" w:color="auto" w:fill="FFFFFF"/>
            <w:vAlign w:val="center"/>
          </w:tcPr>
          <w:p w:rsidR="00F81876" w:rsidRPr="00320F79" w:rsidRDefault="00F81876" w:rsidP="00FA3713">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F81876" w:rsidRPr="00320F79"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F81876" w:rsidRDefault="00F81876" w:rsidP="00FA3713">
            <w:pPr>
              <w:jc w:val="right"/>
              <w:rPr>
                <w:rFonts w:ascii="Arial" w:hAnsi="Arial" w:cs="Arial"/>
                <w:b/>
                <w:color w:val="6C6361"/>
                <w:sz w:val="20"/>
                <w:szCs w:val="20"/>
              </w:rPr>
            </w:pPr>
          </w:p>
          <w:p w:rsidR="00F81876" w:rsidRDefault="00F81876" w:rsidP="00FA3713">
            <w:pPr>
              <w:jc w:val="right"/>
              <w:rPr>
                <w:rFonts w:ascii="Arial" w:hAnsi="Arial" w:cs="Arial"/>
                <w:b/>
                <w:color w:val="6C6361"/>
                <w:sz w:val="20"/>
                <w:szCs w:val="20"/>
              </w:rPr>
            </w:pPr>
          </w:p>
          <w:p w:rsidR="00F81876" w:rsidRPr="00320F79" w:rsidRDefault="00F81876" w:rsidP="00FA3713">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D21F52F" wp14:editId="1AC8159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F81876" w:rsidRPr="00E2201B" w:rsidRDefault="00F81876" w:rsidP="00FA3713">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F81876" w:rsidRPr="003A2A41"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F81876" w:rsidRPr="003A2A41"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82" w:type="dxa"/>
            <w:tcBorders>
              <w:top w:val="nil"/>
              <w:bottom w:val="nil"/>
              <w:right w:val="nil"/>
            </w:tcBorders>
            <w:shd w:val="clear" w:color="auto" w:fill="FFFFFF"/>
            <w:vAlign w:val="center"/>
          </w:tcPr>
          <w:p w:rsidR="00F81876" w:rsidRPr="003A2A41"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F81876" w:rsidRPr="003A2A41"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rsidR="00F81876" w:rsidRPr="00156567" w:rsidRDefault="00F81876" w:rsidP="00FA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8F04182" wp14:editId="040DC5F0">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F81876" w:rsidRDefault="00214BC6" w:rsidP="00F81876"/>
    <w:sectPr w:rsidR="00214BC6" w:rsidRPr="00F8187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593" w:rsidRDefault="002B4593" w:rsidP="00546556">
      <w:r>
        <w:separator/>
      </w:r>
    </w:p>
  </w:endnote>
  <w:endnote w:type="continuationSeparator" w:id="0">
    <w:p w:rsidR="002B4593" w:rsidRDefault="002B459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593" w:rsidRDefault="002B4593" w:rsidP="00546556">
      <w:r>
        <w:separator/>
      </w:r>
    </w:p>
  </w:footnote>
  <w:footnote w:type="continuationSeparator" w:id="0">
    <w:p w:rsidR="002B4593" w:rsidRDefault="002B459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mtG4cMoWceo95INrCfJXMKgBE5RMFF6L4u/zvgmifIy18IWxjEnnnIk49f+NPwuaIg6RvldHwY28qkHkLtFlUg==" w:salt="BvTxNbgAdRlOLhY2YziYY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4593"/>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6839"/>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02D"/>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876"/>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0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3F532-336F-4163-BF08-801AA6F5A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CPD Course, CPT Course: International Taxation Law</vt:lpstr>
    </vt:vector>
  </TitlesOfParts>
  <Manager>Tyrone Tsang</Manager>
  <Company>The Profectional Company Limited</Company>
  <LinksUpToDate>false</LinksUpToDate>
  <CharactersWithSpaces>5469</CharactersWithSpaces>
  <SharedDoc>false</SharedDoc>
  <HyperlinkBase>http://download.profectional.com/events/EVT000000101.docx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Internet Domain Names Disputes: Principles and Practice</dc:title>
  <dc:subject>CPD Course: Internet Domain Names Disputes: Principles and Practice</dc:subject>
  <dc:creator>The Profectional Company Limited</dc:creator>
  <cp:keywords>Profectional; Kornerstone; CPD; CPT; CLE; CE; RME; Julien Chaisse; Associate Professor; The Chinese University of Hong Kong</cp:keywords>
  <cp:lastModifiedBy>Tyrone Tsang</cp:lastModifiedBy>
  <cp:revision>10</cp:revision>
  <cp:lastPrinted>2015-11-29T10:03:00Z</cp:lastPrinted>
  <dcterms:created xsi:type="dcterms:W3CDTF">2015-08-21T08:33:00Z</dcterms:created>
  <dcterms:modified xsi:type="dcterms:W3CDTF">2015-11-29T10:03:00Z</dcterms:modified>
</cp:coreProperties>
</file>