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904" w:rsidRPr="00394904" w:rsidRDefault="00394904" w:rsidP="0039490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94904" w:rsidRPr="00523A64" w:rsidTr="00CA2E5D">
        <w:trPr>
          <w:trHeight w:val="3119"/>
          <w:jc w:val="center"/>
        </w:trPr>
        <w:tc>
          <w:tcPr>
            <w:tcW w:w="4820" w:type="dxa"/>
            <w:shd w:val="clear" w:color="auto" w:fill="FFFFFF"/>
            <w:vAlign w:val="center"/>
          </w:tcPr>
          <w:p w:rsidR="00394904" w:rsidRPr="001A3018" w:rsidRDefault="00394904" w:rsidP="00CA2E5D">
            <w:pPr>
              <w:jc w:val="center"/>
              <w:rPr>
                <w:rFonts w:ascii="Arial" w:hAnsi="Arial" w:cs="Arial"/>
                <w:b/>
                <w:bCs/>
                <w:color w:val="524B48"/>
                <w:sz w:val="4"/>
                <w:szCs w:val="4"/>
              </w:rPr>
            </w:pPr>
          </w:p>
          <w:p w:rsidR="00394904" w:rsidRDefault="00394904" w:rsidP="00CA2E5D">
            <w:pPr>
              <w:jc w:val="center"/>
              <w:rPr>
                <w:rStyle w:val="Hyperlink"/>
                <w:rFonts w:ascii="Arial" w:hAnsi="Arial" w:cs="Arial"/>
                <w:b/>
                <w:bCs/>
                <w:color w:val="524B48"/>
                <w:sz w:val="32"/>
                <w:szCs w:val="32"/>
                <w:u w:val="none"/>
              </w:rPr>
            </w:pPr>
            <w:r>
              <w:fldChar w:fldCharType="begin"/>
            </w:r>
            <w:r>
              <w:instrText>HYPERLINK "http://cpd.hk/evt000000107/"</w:instrText>
            </w:r>
            <w:r>
              <w:fldChar w:fldCharType="separate"/>
            </w:r>
            <w:r>
              <w:rPr>
                <w:rStyle w:val="Hyperlink"/>
                <w:rFonts w:ascii="Arial" w:hAnsi="Arial" w:cs="Arial"/>
                <w:b/>
                <w:bCs/>
                <w:color w:val="524B48"/>
                <w:sz w:val="32"/>
                <w:szCs w:val="32"/>
                <w:u w:val="none"/>
              </w:rPr>
              <w:t>International</w:t>
            </w:r>
          </w:p>
          <w:p w:rsidR="00394904" w:rsidRDefault="00394904" w:rsidP="00CA2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Intellectual Property Law</w:t>
            </w:r>
          </w:p>
          <w:p w:rsidR="00394904" w:rsidRDefault="00394904" w:rsidP="00CA2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Update:</w:t>
            </w:r>
          </w:p>
          <w:p w:rsidR="00394904" w:rsidRDefault="00394904" w:rsidP="00CA2E5D">
            <w:pPr>
              <w:jc w:val="center"/>
              <w:rPr>
                <w:rStyle w:val="Hyperlink"/>
                <w:rFonts w:ascii="Arial" w:hAnsi="Arial" w:cs="Arial"/>
                <w:b/>
                <w:bCs/>
                <w:color w:val="524B48"/>
                <w:sz w:val="32"/>
                <w:szCs w:val="32"/>
                <w:u w:val="none"/>
              </w:rPr>
            </w:pPr>
            <w:proofErr w:type="spellStart"/>
            <w:r>
              <w:rPr>
                <w:rStyle w:val="Hyperlink"/>
                <w:rFonts w:ascii="Arial" w:hAnsi="Arial" w:cs="Arial"/>
                <w:b/>
                <w:bCs/>
                <w:color w:val="524B48"/>
                <w:sz w:val="32"/>
                <w:szCs w:val="32"/>
                <w:u w:val="none"/>
              </w:rPr>
              <w:t>Trendspotting</w:t>
            </w:r>
            <w:proofErr w:type="spellEnd"/>
            <w:r>
              <w:rPr>
                <w:rStyle w:val="Hyperlink"/>
                <w:rFonts w:ascii="Arial" w:hAnsi="Arial" w:cs="Arial"/>
                <w:b/>
                <w:bCs/>
                <w:color w:val="524B48"/>
                <w:sz w:val="32"/>
                <w:szCs w:val="32"/>
                <w:u w:val="none"/>
              </w:rPr>
              <w:t xml:space="preserve"> From Recent</w:t>
            </w:r>
          </w:p>
          <w:p w:rsidR="00394904" w:rsidRDefault="00394904" w:rsidP="00CA2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Free Trade Agreements</w:t>
            </w:r>
          </w:p>
          <w:p w:rsidR="00394904" w:rsidRPr="00C65AFD" w:rsidRDefault="00394904" w:rsidP="00CA2E5D">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394904" w:rsidRPr="00C65AFD" w:rsidRDefault="00394904" w:rsidP="00CA2E5D">
            <w:pPr>
              <w:jc w:val="center"/>
              <w:rPr>
                <w:rFonts w:ascii="Arial" w:hAnsi="Arial" w:cs="Arial"/>
                <w:i/>
                <w:color w:val="6C6361"/>
                <w:sz w:val="24"/>
                <w:szCs w:val="24"/>
              </w:rPr>
            </w:pPr>
            <w:r w:rsidRPr="00C65AFD">
              <w:rPr>
                <w:rFonts w:ascii="Arial" w:hAnsi="Arial" w:cs="Arial"/>
                <w:i/>
                <w:color w:val="6C6361"/>
                <w:sz w:val="24"/>
                <w:szCs w:val="24"/>
              </w:rPr>
              <w:t>by</w:t>
            </w:r>
          </w:p>
          <w:p w:rsidR="00394904" w:rsidRDefault="00394904" w:rsidP="00CA2E5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w:t>
              </w:r>
              <w:r w:rsidRPr="00813E0C">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Bryan </w:t>
              </w:r>
              <w:proofErr w:type="spellStart"/>
              <w:r>
                <w:rPr>
                  <w:rStyle w:val="Hyperlink"/>
                  <w:rFonts w:ascii="Arial" w:hAnsi="Arial" w:cs="Arial"/>
                  <w:color w:val="6C6361"/>
                  <w:sz w:val="24"/>
                  <w:szCs w:val="24"/>
                  <w:u w:val="none"/>
                </w:rPr>
                <w:t>Mercurio</w:t>
              </w:r>
              <w:proofErr w:type="spellEnd"/>
            </w:hyperlink>
            <w:r>
              <w:rPr>
                <w:rStyle w:val="Hyperlink"/>
                <w:rFonts w:ascii="Arial" w:hAnsi="Arial" w:cs="Arial"/>
                <w:color w:val="6C6361"/>
                <w:sz w:val="24"/>
                <w:szCs w:val="24"/>
                <w:u w:val="none"/>
              </w:rPr>
              <w:t>,</w:t>
            </w:r>
          </w:p>
          <w:p w:rsidR="00394904" w:rsidRDefault="00394904" w:rsidP="00CA2E5D">
            <w:pPr>
              <w:jc w:val="center"/>
              <w:rPr>
                <w:rFonts w:ascii="Arial" w:hAnsi="Arial" w:cs="Arial"/>
                <w:color w:val="6C6361"/>
                <w:sz w:val="24"/>
                <w:szCs w:val="24"/>
              </w:rPr>
            </w:pPr>
            <w:r>
              <w:rPr>
                <w:rFonts w:ascii="Arial" w:hAnsi="Arial" w:cs="Arial"/>
                <w:color w:val="6C6361"/>
                <w:sz w:val="24"/>
                <w:szCs w:val="24"/>
              </w:rPr>
              <w:t>Professor,</w:t>
            </w:r>
          </w:p>
          <w:p w:rsidR="00394904" w:rsidRDefault="00394904" w:rsidP="00CA2E5D">
            <w:pPr>
              <w:jc w:val="center"/>
              <w:rPr>
                <w:rFonts w:ascii="Arial" w:hAnsi="Arial" w:cs="Arial"/>
                <w:color w:val="6C6361"/>
                <w:sz w:val="24"/>
                <w:szCs w:val="24"/>
              </w:rPr>
            </w:pPr>
            <w:r>
              <w:rPr>
                <w:rFonts w:ascii="Arial" w:hAnsi="Arial" w:cs="Arial"/>
                <w:color w:val="6C6361"/>
                <w:sz w:val="24"/>
                <w:szCs w:val="24"/>
              </w:rPr>
              <w:t>Vice Chancellor’s Outstanding Fellow</w:t>
            </w:r>
          </w:p>
          <w:p w:rsidR="00394904" w:rsidRDefault="00394904" w:rsidP="00CA2E5D">
            <w:pPr>
              <w:jc w:val="center"/>
              <w:rPr>
                <w:rFonts w:ascii="Arial" w:hAnsi="Arial" w:cs="Arial"/>
                <w:color w:val="6C6361"/>
                <w:sz w:val="24"/>
                <w:szCs w:val="24"/>
              </w:rPr>
            </w:pPr>
            <w:r>
              <w:rPr>
                <w:rFonts w:ascii="Arial" w:hAnsi="Arial" w:cs="Arial"/>
                <w:color w:val="6C6361"/>
                <w:sz w:val="24"/>
                <w:szCs w:val="24"/>
              </w:rPr>
              <w:t>of the Faculty of Law,</w:t>
            </w:r>
          </w:p>
          <w:p w:rsidR="00394904" w:rsidRDefault="00394904" w:rsidP="00CA2E5D">
            <w:pPr>
              <w:jc w:val="center"/>
              <w:rPr>
                <w:rFonts w:ascii="Arial" w:hAnsi="Arial" w:cs="Arial"/>
                <w:color w:val="6C6361"/>
                <w:sz w:val="24"/>
                <w:szCs w:val="24"/>
              </w:rPr>
            </w:pPr>
            <w:r>
              <w:rPr>
                <w:rFonts w:ascii="Arial" w:hAnsi="Arial" w:cs="Arial"/>
                <w:color w:val="6C6361"/>
                <w:sz w:val="24"/>
                <w:szCs w:val="24"/>
              </w:rPr>
              <w:t xml:space="preserve">The Chinese University of Hong Kong </w:t>
            </w:r>
          </w:p>
          <w:p w:rsidR="00394904" w:rsidRPr="00115C46" w:rsidRDefault="00394904" w:rsidP="00CA2E5D">
            <w:pPr>
              <w:jc w:val="center"/>
              <w:rPr>
                <w:rFonts w:ascii="Arial" w:hAnsi="Arial" w:cs="Arial"/>
                <w:color w:val="6C6361"/>
                <w:sz w:val="8"/>
                <w:szCs w:val="8"/>
              </w:rPr>
            </w:pPr>
          </w:p>
        </w:tc>
        <w:tc>
          <w:tcPr>
            <w:tcW w:w="5954" w:type="dxa"/>
            <w:shd w:val="clear" w:color="auto" w:fill="FFFFFF"/>
            <w:vAlign w:val="center"/>
          </w:tcPr>
          <w:p w:rsidR="00394904" w:rsidRPr="00D50772" w:rsidRDefault="00394904" w:rsidP="00CA2E5D">
            <w:pPr>
              <w:spacing w:line="276" w:lineRule="auto"/>
              <w:jc w:val="center"/>
              <w:rPr>
                <w:rFonts w:ascii="Arial" w:eastAsia="Times New Roman" w:hAnsi="Arial" w:cs="Arial"/>
                <w:noProof/>
                <w:sz w:val="20"/>
                <w:szCs w:val="20"/>
              </w:rPr>
            </w:pPr>
            <w:r w:rsidRPr="009D2FCF">
              <w:rPr>
                <w:rFonts w:ascii="Arial" w:hAnsi="Arial" w:cs="Arial"/>
                <w:noProof/>
                <w:color w:val="6C6361"/>
                <w:sz w:val="24"/>
                <w:szCs w:val="24"/>
              </w:rPr>
              <w:drawing>
                <wp:anchor distT="0" distB="0" distL="114300" distR="114300" simplePos="0" relativeHeight="251659264" behindDoc="0" locked="0" layoutInCell="1" allowOverlap="1" wp14:anchorId="0B18F773" wp14:editId="57D9B471">
                  <wp:simplePos x="0" y="0"/>
                  <wp:positionH relativeFrom="column">
                    <wp:posOffset>3181350</wp:posOffset>
                  </wp:positionH>
                  <wp:positionV relativeFrom="paragraph">
                    <wp:posOffset>-307975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5EC3FB2" wp14:editId="6354780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394904" w:rsidRPr="00394904" w:rsidRDefault="00394904" w:rsidP="00394904">
      <w:pPr>
        <w:spacing w:line="276" w:lineRule="auto"/>
        <w:jc w:val="left"/>
        <w:rPr>
          <w:rFonts w:ascii="Arial" w:hAnsi="Arial" w:cs="Arial"/>
          <w:sz w:val="14"/>
          <w:szCs w:val="14"/>
        </w:rPr>
      </w:pPr>
    </w:p>
    <w:tbl>
      <w:tblPr>
        <w:tblW w:w="10773" w:type="dxa"/>
        <w:jc w:val="center"/>
        <w:tblLook w:val="04A0" w:firstRow="1" w:lastRow="0" w:firstColumn="1" w:lastColumn="0" w:noHBand="0" w:noVBand="1"/>
      </w:tblPr>
      <w:tblGrid>
        <w:gridCol w:w="1985"/>
        <w:gridCol w:w="8788"/>
      </w:tblGrid>
      <w:tr w:rsidR="00394904" w:rsidRPr="002909B6" w:rsidTr="00CA2E5D">
        <w:trPr>
          <w:trHeight w:val="2892"/>
          <w:jc w:val="center"/>
        </w:trPr>
        <w:tc>
          <w:tcPr>
            <w:tcW w:w="1985" w:type="dxa"/>
            <w:shd w:val="clear" w:color="auto" w:fill="FFFFFF"/>
            <w:vAlign w:val="center"/>
          </w:tcPr>
          <w:p w:rsidR="00394904" w:rsidRPr="002909B6" w:rsidRDefault="00394904" w:rsidP="00CA2E5D">
            <w:pPr>
              <w:spacing w:line="276" w:lineRule="auto"/>
              <w:contextualSpacing/>
              <w:jc w:val="center"/>
              <w:rPr>
                <w:rFonts w:ascii="Arial" w:hAnsi="Arial" w:cs="Arial"/>
                <w:sz w:val="20"/>
                <w:szCs w:val="20"/>
              </w:rPr>
            </w:pPr>
            <w:r w:rsidRPr="002909B6">
              <w:rPr>
                <w:rFonts w:ascii="Arial" w:hAnsi="Arial" w:cs="Arial"/>
                <w:noProof/>
                <w:sz w:val="20"/>
                <w:szCs w:val="20"/>
              </w:rPr>
              <w:drawing>
                <wp:inline distT="0" distB="0" distL="0" distR="0" wp14:anchorId="3A8DF272" wp14:editId="729ADEF2">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94904" w:rsidRPr="002909B6" w:rsidRDefault="00394904" w:rsidP="00CA2E5D">
            <w:pPr>
              <w:pStyle w:val="NormalWeb"/>
              <w:spacing w:line="276" w:lineRule="auto"/>
              <w:contextualSpacing/>
              <w:rPr>
                <w:rFonts w:ascii="Arial" w:hAnsi="Arial" w:cs="Arial"/>
                <w:color w:val="6C6361"/>
                <w:sz w:val="20"/>
                <w:szCs w:val="20"/>
              </w:rPr>
            </w:pPr>
            <w:r w:rsidRPr="002909B6">
              <w:rPr>
                <w:rFonts w:ascii="Arial" w:hAnsi="Arial" w:cs="Arial"/>
                <w:color w:val="6C6361"/>
                <w:sz w:val="20"/>
                <w:szCs w:val="20"/>
              </w:rPr>
              <w:t xml:space="preserve">Bryan </w:t>
            </w:r>
            <w:proofErr w:type="spellStart"/>
            <w:r w:rsidRPr="002909B6">
              <w:rPr>
                <w:rFonts w:ascii="Arial" w:hAnsi="Arial" w:cs="Arial"/>
                <w:color w:val="6C6361"/>
                <w:sz w:val="20"/>
                <w:szCs w:val="20"/>
              </w:rPr>
              <w:t>Mercurio</w:t>
            </w:r>
            <w:proofErr w:type="spellEnd"/>
            <w:r w:rsidRPr="002909B6">
              <w:rPr>
                <w:rFonts w:ascii="Arial" w:hAnsi="Arial" w:cs="Arial"/>
                <w:color w:val="6C6361"/>
                <w:sz w:val="20"/>
                <w:szCs w:val="20"/>
              </w:rPr>
              <w:t xml:space="preserve"> is Professor and Vice Chancellor’s Outstanding Fellow of the Faculty of Law at the Chinese University of Hong Kong (CUHK), having served as Associate Dean (Research) from 2010-14.  Specializing in international economic law, Professor </w:t>
            </w:r>
            <w:proofErr w:type="spellStart"/>
            <w:r w:rsidRPr="002909B6">
              <w:rPr>
                <w:rFonts w:ascii="Arial" w:hAnsi="Arial" w:cs="Arial"/>
                <w:color w:val="6C6361"/>
                <w:sz w:val="20"/>
                <w:szCs w:val="20"/>
              </w:rPr>
              <w:t>Mercurio</w:t>
            </w:r>
            <w:proofErr w:type="spellEnd"/>
            <w:r w:rsidRPr="002909B6">
              <w:rPr>
                <w:rFonts w:ascii="Arial" w:hAnsi="Arial" w:cs="Arial"/>
                <w:color w:val="6C6361"/>
                <w:sz w:val="20"/>
                <w:szCs w:val="20"/>
              </w:rPr>
              <w:t xml:space="preserve"> is a leading expert in the intersection between trade law and intellectual property rights.  His work also frequently deals with free trade agreements, dispute settlement and increasingly international investment law.  Professor </w:t>
            </w:r>
            <w:proofErr w:type="spellStart"/>
            <w:r w:rsidRPr="002909B6">
              <w:rPr>
                <w:rFonts w:ascii="Arial" w:hAnsi="Arial" w:cs="Arial"/>
                <w:color w:val="6C6361"/>
                <w:sz w:val="20"/>
                <w:szCs w:val="20"/>
              </w:rPr>
              <w:t>Mercurio</w:t>
            </w:r>
            <w:proofErr w:type="spellEnd"/>
            <w:r w:rsidRPr="002909B6">
              <w:rPr>
                <w:rFonts w:ascii="Arial" w:hAnsi="Arial" w:cs="Arial"/>
                <w:color w:val="6C6361"/>
                <w:sz w:val="20"/>
                <w:szCs w:val="20"/>
              </w:rPr>
              <w:t xml:space="preserve"> is the author of one of the most widely used case books on WTO law (Hart Publishing, 2012, 2nd </w:t>
            </w:r>
            <w:proofErr w:type="spellStart"/>
            <w:r w:rsidRPr="002909B6">
              <w:rPr>
                <w:rFonts w:ascii="Arial" w:hAnsi="Arial" w:cs="Arial"/>
                <w:color w:val="6C6361"/>
                <w:sz w:val="20"/>
                <w:szCs w:val="20"/>
              </w:rPr>
              <w:t>ed</w:t>
            </w:r>
            <w:proofErr w:type="spellEnd"/>
            <w:r w:rsidRPr="002909B6">
              <w:rPr>
                <w:rFonts w:ascii="Arial" w:hAnsi="Arial" w:cs="Arial"/>
                <w:color w:val="6C6361"/>
                <w:sz w:val="20"/>
                <w:szCs w:val="20"/>
              </w:rPr>
              <w:t xml:space="preserve">, with S. Lester) and editor of the leading collection on bilateral and regional trade agreements (Cambridge University Press, 2015, 2nd </w:t>
            </w:r>
            <w:proofErr w:type="spellStart"/>
            <w:r w:rsidRPr="002909B6">
              <w:rPr>
                <w:rFonts w:ascii="Arial" w:hAnsi="Arial" w:cs="Arial"/>
                <w:color w:val="6C6361"/>
                <w:sz w:val="20"/>
                <w:szCs w:val="20"/>
              </w:rPr>
              <w:t>ed</w:t>
            </w:r>
            <w:proofErr w:type="spellEnd"/>
            <w:r w:rsidRPr="002909B6">
              <w:rPr>
                <w:rFonts w:ascii="Arial" w:hAnsi="Arial" w:cs="Arial"/>
                <w:color w:val="6C6361"/>
                <w:sz w:val="20"/>
                <w:szCs w:val="20"/>
              </w:rPr>
              <w:t xml:space="preserve">, with S. Lester and L. Bartels).  Prior to academia, Professor </w:t>
            </w:r>
            <w:proofErr w:type="spellStart"/>
            <w:r w:rsidRPr="002909B6">
              <w:rPr>
                <w:rFonts w:ascii="Arial" w:hAnsi="Arial" w:cs="Arial"/>
                <w:color w:val="6C6361"/>
                <w:sz w:val="20"/>
                <w:szCs w:val="20"/>
              </w:rPr>
              <w:t>Mercurio</w:t>
            </w:r>
            <w:proofErr w:type="spellEnd"/>
            <w:r w:rsidRPr="002909B6">
              <w:rPr>
                <w:rFonts w:ascii="Arial" w:hAnsi="Arial" w:cs="Arial"/>
                <w:color w:val="6C6361"/>
                <w:sz w:val="20"/>
                <w:szCs w:val="20"/>
              </w:rPr>
              <w:t xml:space="preserve"> worked in government and in the private sector practicing international trade, intellectual property and commercial law and he continues to advise law firms, NGOs and governments on a wide range of trade and investment issues.</w:t>
            </w:r>
          </w:p>
        </w:tc>
      </w:tr>
    </w:tbl>
    <w:p w:rsidR="00394904" w:rsidRPr="00394904" w:rsidRDefault="00394904" w:rsidP="00394904">
      <w:pPr>
        <w:spacing w:line="276" w:lineRule="auto"/>
        <w:jc w:val="left"/>
        <w:rPr>
          <w:rFonts w:ascii="Arial" w:hAnsi="Arial" w:cs="Arial"/>
          <w:sz w:val="14"/>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394904" w:rsidRPr="002909B6" w:rsidTr="00CA2E5D">
        <w:trPr>
          <w:trHeight w:val="1418"/>
          <w:jc w:val="center"/>
        </w:trPr>
        <w:tc>
          <w:tcPr>
            <w:tcW w:w="10773" w:type="dxa"/>
            <w:gridSpan w:val="2"/>
            <w:tcBorders>
              <w:top w:val="nil"/>
              <w:bottom w:val="nil"/>
            </w:tcBorders>
            <w:shd w:val="clear" w:color="auto" w:fill="FFFFFF" w:themeFill="background1"/>
            <w:vAlign w:val="center"/>
          </w:tcPr>
          <w:p w:rsidR="00394904" w:rsidRPr="002909B6" w:rsidRDefault="00394904" w:rsidP="00CA2E5D">
            <w:pPr>
              <w:spacing w:line="276" w:lineRule="auto"/>
              <w:rPr>
                <w:rFonts w:ascii="Arial" w:hAnsi="Arial" w:cs="Arial"/>
                <w:color w:val="6C6361"/>
                <w:sz w:val="20"/>
                <w:szCs w:val="20"/>
              </w:rPr>
            </w:pPr>
            <w:r w:rsidRPr="002909B6">
              <w:rPr>
                <w:rFonts w:ascii="Arial" w:hAnsi="Arial" w:cs="Arial"/>
                <w:color w:val="6C6361"/>
                <w:sz w:val="20"/>
                <w:szCs w:val="20"/>
              </w:rPr>
              <w:t>International standards in intellectual property law are rapidly changing with every new free trade agreement (FTA).  Focusing on copyright, trademark and patent law this seminar will provide an update on the latest movements with specific reference to latest US and EU agreements, as well as the recently concluded Trans-Pacific Partnership.  The seminar will discuss how Hong Kong rights holders can take advantage of these legal shifts, and the likelihood of Hong Kong itself adopting the new standards in the future.</w:t>
            </w:r>
          </w:p>
        </w:tc>
      </w:tr>
      <w:tr w:rsidR="00394904" w:rsidRPr="002909B6" w:rsidTr="00CA2E5D">
        <w:trPr>
          <w:trHeight w:val="284"/>
          <w:jc w:val="center"/>
        </w:trPr>
        <w:tc>
          <w:tcPr>
            <w:tcW w:w="10773" w:type="dxa"/>
            <w:gridSpan w:val="2"/>
            <w:tcBorders>
              <w:top w:val="nil"/>
              <w:bottom w:val="nil"/>
            </w:tcBorders>
            <w:shd w:val="clear" w:color="auto" w:fill="F0EBE1"/>
            <w:vAlign w:val="center"/>
          </w:tcPr>
          <w:p w:rsidR="00394904" w:rsidRPr="002909B6" w:rsidRDefault="00394904" w:rsidP="00CA2E5D">
            <w:pPr>
              <w:spacing w:line="276" w:lineRule="auto"/>
              <w:rPr>
                <w:rFonts w:ascii="Arial" w:hAnsi="Arial" w:cs="Arial"/>
                <w:b/>
                <w:color w:val="524B48"/>
                <w:sz w:val="20"/>
                <w:szCs w:val="20"/>
              </w:rPr>
            </w:pPr>
            <w:r w:rsidRPr="002909B6">
              <w:rPr>
                <w:rFonts w:ascii="Arial" w:hAnsi="Arial" w:cs="Arial"/>
                <w:b/>
                <w:color w:val="524B48"/>
                <w:sz w:val="20"/>
                <w:szCs w:val="20"/>
              </w:rPr>
              <w:t>The course will cover the following:</w:t>
            </w:r>
          </w:p>
        </w:tc>
      </w:tr>
      <w:tr w:rsidR="00394904" w:rsidRPr="002909B6" w:rsidTr="00CA2E5D">
        <w:trPr>
          <w:trHeight w:val="2211"/>
          <w:jc w:val="center"/>
        </w:trPr>
        <w:tc>
          <w:tcPr>
            <w:tcW w:w="9072" w:type="dxa"/>
            <w:tcBorders>
              <w:top w:val="nil"/>
              <w:bottom w:val="nil"/>
              <w:right w:val="nil"/>
            </w:tcBorders>
            <w:shd w:val="clear" w:color="auto" w:fill="FFFFFF" w:themeFill="background1"/>
            <w:vAlign w:val="center"/>
          </w:tcPr>
          <w:p w:rsidR="00394904" w:rsidRPr="002909B6" w:rsidRDefault="00394904" w:rsidP="00CA2E5D">
            <w:pPr>
              <w:pStyle w:val="ListParagraph"/>
              <w:numPr>
                <w:ilvl w:val="0"/>
                <w:numId w:val="1"/>
              </w:numPr>
              <w:spacing w:line="276" w:lineRule="auto"/>
              <w:rPr>
                <w:rFonts w:ascii="Arial" w:hAnsi="Arial" w:cs="Arial"/>
                <w:color w:val="6C6361"/>
                <w:sz w:val="20"/>
                <w:szCs w:val="20"/>
              </w:rPr>
            </w:pPr>
            <w:r w:rsidRPr="002909B6">
              <w:rPr>
                <w:rFonts w:ascii="Arial" w:hAnsi="Arial" w:cs="Arial"/>
                <w:color w:val="6C6361"/>
                <w:sz w:val="20"/>
                <w:szCs w:val="20"/>
              </w:rPr>
              <w:t>How and why FTAs extend intellectual property protection and rights</w:t>
            </w:r>
          </w:p>
          <w:p w:rsidR="00394904" w:rsidRPr="002909B6" w:rsidRDefault="00394904" w:rsidP="00CA2E5D">
            <w:pPr>
              <w:pStyle w:val="ListParagraph"/>
              <w:numPr>
                <w:ilvl w:val="0"/>
                <w:numId w:val="1"/>
              </w:numPr>
              <w:spacing w:line="276" w:lineRule="auto"/>
              <w:rPr>
                <w:rFonts w:ascii="Arial" w:hAnsi="Arial" w:cs="Arial"/>
                <w:color w:val="6C6361"/>
                <w:sz w:val="20"/>
                <w:szCs w:val="20"/>
              </w:rPr>
            </w:pPr>
            <w:r w:rsidRPr="002909B6">
              <w:rPr>
                <w:rFonts w:ascii="Arial" w:hAnsi="Arial" w:cs="Arial" w:hint="eastAsia"/>
                <w:color w:val="6C6361"/>
                <w:sz w:val="20"/>
                <w:szCs w:val="20"/>
              </w:rPr>
              <w:t>The evolution of intellectual property protection in FTAs</w:t>
            </w:r>
          </w:p>
          <w:p w:rsidR="00394904" w:rsidRPr="002909B6" w:rsidRDefault="00394904" w:rsidP="00CA2E5D">
            <w:pPr>
              <w:pStyle w:val="ListParagraph"/>
              <w:numPr>
                <w:ilvl w:val="0"/>
                <w:numId w:val="1"/>
              </w:numPr>
              <w:spacing w:line="276" w:lineRule="auto"/>
              <w:rPr>
                <w:rFonts w:ascii="Arial" w:hAnsi="Arial" w:cs="Arial"/>
                <w:color w:val="6C6361"/>
                <w:sz w:val="20"/>
                <w:szCs w:val="20"/>
              </w:rPr>
            </w:pPr>
            <w:r w:rsidRPr="00370B95">
              <w:rPr>
                <w:rFonts w:ascii="Arial" w:hAnsi="Arial" w:cs="Arial" w:hint="eastAsia"/>
                <w:b/>
                <w:color w:val="6C6361"/>
                <w:sz w:val="20"/>
                <w:szCs w:val="20"/>
              </w:rPr>
              <w:t>Copyright</w:t>
            </w:r>
            <w:r w:rsidRPr="002909B6">
              <w:rPr>
                <w:rFonts w:ascii="Arial" w:hAnsi="Arial" w:cs="Arial" w:hint="eastAsia"/>
                <w:color w:val="6C6361"/>
                <w:sz w:val="20"/>
                <w:szCs w:val="20"/>
              </w:rPr>
              <w:t xml:space="preserve"> - term extensions and technical protection measures</w:t>
            </w:r>
          </w:p>
          <w:p w:rsidR="00394904" w:rsidRPr="002909B6" w:rsidRDefault="00394904" w:rsidP="00CA2E5D">
            <w:pPr>
              <w:pStyle w:val="ListParagraph"/>
              <w:numPr>
                <w:ilvl w:val="0"/>
                <w:numId w:val="1"/>
              </w:numPr>
              <w:spacing w:line="276" w:lineRule="auto"/>
              <w:rPr>
                <w:rFonts w:ascii="Arial" w:hAnsi="Arial" w:cs="Arial"/>
                <w:color w:val="6C6361"/>
                <w:sz w:val="20"/>
                <w:szCs w:val="20"/>
              </w:rPr>
            </w:pPr>
            <w:r w:rsidRPr="00370B95">
              <w:rPr>
                <w:rFonts w:ascii="Arial" w:hAnsi="Arial" w:cs="Arial" w:hint="eastAsia"/>
                <w:b/>
                <w:color w:val="6C6361"/>
                <w:sz w:val="20"/>
                <w:szCs w:val="20"/>
              </w:rPr>
              <w:t>Trademark</w:t>
            </w:r>
            <w:r w:rsidRPr="002909B6">
              <w:rPr>
                <w:rFonts w:ascii="Arial" w:hAnsi="Arial" w:cs="Arial" w:hint="eastAsia"/>
                <w:color w:val="6C6361"/>
                <w:sz w:val="20"/>
                <w:szCs w:val="20"/>
              </w:rPr>
              <w:t xml:space="preserve"> - differing approaches between the US and EU</w:t>
            </w:r>
          </w:p>
          <w:p w:rsidR="00394904" w:rsidRPr="002909B6" w:rsidRDefault="00394904" w:rsidP="00CA2E5D">
            <w:pPr>
              <w:pStyle w:val="ListParagraph"/>
              <w:numPr>
                <w:ilvl w:val="0"/>
                <w:numId w:val="1"/>
              </w:numPr>
              <w:spacing w:line="276" w:lineRule="auto"/>
              <w:rPr>
                <w:rFonts w:ascii="Arial" w:hAnsi="Arial" w:cs="Arial"/>
                <w:color w:val="6C6361"/>
                <w:sz w:val="20"/>
                <w:szCs w:val="20"/>
              </w:rPr>
            </w:pPr>
            <w:r w:rsidRPr="00370B95">
              <w:rPr>
                <w:rFonts w:ascii="Arial" w:hAnsi="Arial" w:cs="Arial" w:hint="eastAsia"/>
                <w:b/>
                <w:color w:val="6C6361"/>
                <w:sz w:val="20"/>
                <w:szCs w:val="20"/>
              </w:rPr>
              <w:t>Patents</w:t>
            </w:r>
            <w:r w:rsidRPr="002909B6">
              <w:rPr>
                <w:rFonts w:ascii="Arial" w:hAnsi="Arial" w:cs="Arial" w:hint="eastAsia"/>
                <w:color w:val="6C6361"/>
                <w:sz w:val="20"/>
                <w:szCs w:val="20"/>
              </w:rPr>
              <w:t xml:space="preserve"> - patent term extension, protection of test data, linkage with health authorities and compulsory </w:t>
            </w:r>
            <w:proofErr w:type="spellStart"/>
            <w:r w:rsidRPr="002909B6">
              <w:rPr>
                <w:rFonts w:ascii="Arial" w:hAnsi="Arial" w:cs="Arial" w:hint="eastAsia"/>
                <w:color w:val="6C6361"/>
                <w:sz w:val="20"/>
                <w:szCs w:val="20"/>
              </w:rPr>
              <w:t>licencing</w:t>
            </w:r>
            <w:proofErr w:type="spellEnd"/>
          </w:p>
          <w:p w:rsidR="00394904" w:rsidRPr="002909B6" w:rsidRDefault="00394904" w:rsidP="00CA2E5D">
            <w:pPr>
              <w:pStyle w:val="ListParagraph"/>
              <w:numPr>
                <w:ilvl w:val="0"/>
                <w:numId w:val="1"/>
              </w:numPr>
              <w:spacing w:line="276" w:lineRule="auto"/>
              <w:rPr>
                <w:rFonts w:ascii="Arial" w:hAnsi="Arial" w:cs="Arial"/>
                <w:color w:val="6C6361"/>
                <w:sz w:val="20"/>
                <w:szCs w:val="20"/>
              </w:rPr>
            </w:pPr>
            <w:r w:rsidRPr="002909B6">
              <w:rPr>
                <w:rFonts w:ascii="Arial" w:hAnsi="Arial" w:cs="Arial" w:hint="eastAsia"/>
                <w:color w:val="6C6361"/>
                <w:sz w:val="20"/>
                <w:szCs w:val="20"/>
              </w:rPr>
              <w:t>Enforcement procedures</w:t>
            </w:r>
          </w:p>
          <w:p w:rsidR="00394904" w:rsidRPr="002909B6" w:rsidRDefault="00394904" w:rsidP="00CA2E5D">
            <w:pPr>
              <w:pStyle w:val="ListParagraph"/>
              <w:numPr>
                <w:ilvl w:val="0"/>
                <w:numId w:val="1"/>
              </w:numPr>
              <w:spacing w:line="276" w:lineRule="auto"/>
              <w:rPr>
                <w:rFonts w:ascii="Arial" w:hAnsi="Arial" w:cs="Arial"/>
                <w:color w:val="6C6361"/>
                <w:sz w:val="20"/>
                <w:szCs w:val="20"/>
              </w:rPr>
            </w:pPr>
            <w:r w:rsidRPr="002909B6">
              <w:rPr>
                <w:rFonts w:ascii="Arial" w:hAnsi="Arial" w:cs="Arial" w:hint="eastAsia"/>
                <w:color w:val="6C6361"/>
                <w:sz w:val="20"/>
                <w:szCs w:val="20"/>
              </w:rPr>
              <w:t>Intellectual property rights as an investment</w:t>
            </w:r>
          </w:p>
        </w:tc>
        <w:tc>
          <w:tcPr>
            <w:tcW w:w="1701" w:type="dxa"/>
            <w:tcBorders>
              <w:top w:val="nil"/>
              <w:left w:val="nil"/>
              <w:bottom w:val="nil"/>
            </w:tcBorders>
            <w:shd w:val="clear" w:color="auto" w:fill="FFFFFF" w:themeFill="background1"/>
            <w:vAlign w:val="center"/>
          </w:tcPr>
          <w:p w:rsidR="00394904" w:rsidRPr="000F1F07" w:rsidRDefault="00394904" w:rsidP="00CA2E5D">
            <w:pPr>
              <w:spacing w:line="276" w:lineRule="auto"/>
              <w:jc w:val="center"/>
              <w:rPr>
                <w:rFonts w:ascii="Arial" w:hAnsi="Arial" w:cs="Arial"/>
                <w:color w:val="6C6361"/>
                <w:sz w:val="12"/>
                <w:szCs w:val="20"/>
              </w:rPr>
            </w:pPr>
          </w:p>
          <w:p w:rsidR="00394904" w:rsidRPr="000F1F07" w:rsidRDefault="00394904" w:rsidP="00CA2E5D">
            <w:pPr>
              <w:spacing w:line="276" w:lineRule="auto"/>
              <w:jc w:val="center"/>
              <w:rPr>
                <w:rFonts w:ascii="Arial" w:hAnsi="Arial" w:cs="Arial"/>
                <w:color w:val="6C6361"/>
                <w:sz w:val="12"/>
                <w:szCs w:val="20"/>
              </w:rPr>
            </w:pPr>
          </w:p>
          <w:p w:rsidR="00394904" w:rsidRPr="002909B6" w:rsidRDefault="00394904" w:rsidP="00CA2E5D">
            <w:pPr>
              <w:spacing w:line="276" w:lineRule="auto"/>
              <w:jc w:val="center"/>
              <w:rPr>
                <w:rFonts w:ascii="Arial" w:hAnsi="Arial" w:cs="Arial"/>
                <w:color w:val="6C6361"/>
                <w:sz w:val="20"/>
                <w:szCs w:val="20"/>
              </w:rPr>
            </w:pPr>
            <w:r w:rsidRPr="009904ED">
              <w:rPr>
                <w:noProof/>
                <w:sz w:val="20"/>
                <w:szCs w:val="20"/>
              </w:rPr>
              <w:drawing>
                <wp:inline distT="0" distB="0" distL="0" distR="0" wp14:anchorId="3A67DA75" wp14:editId="3D348DC0">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394904" w:rsidRPr="00394904" w:rsidRDefault="00394904" w:rsidP="00394904">
      <w:pPr>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394904" w:rsidRPr="00320F79" w:rsidTr="00CA2E5D">
        <w:trPr>
          <w:trHeight w:val="284"/>
          <w:jc w:val="center"/>
        </w:trPr>
        <w:tc>
          <w:tcPr>
            <w:tcW w:w="1701" w:type="dxa"/>
            <w:tcBorders>
              <w:top w:val="nil"/>
              <w:left w:val="nil"/>
              <w:bottom w:val="single" w:sz="12" w:space="0" w:color="FFFFFF"/>
            </w:tcBorders>
            <w:shd w:val="clear" w:color="auto" w:fill="F0EBE1"/>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EVT000000107</w:t>
            </w:r>
          </w:p>
        </w:tc>
        <w:tc>
          <w:tcPr>
            <w:tcW w:w="1701" w:type="dxa"/>
            <w:tcBorders>
              <w:top w:val="nil"/>
              <w:bottom w:val="single" w:sz="12" w:space="0" w:color="FFFFFF"/>
            </w:tcBorders>
            <w:shd w:val="clear" w:color="auto" w:fill="F0EBE1"/>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Update</w:t>
            </w:r>
          </w:p>
        </w:tc>
      </w:tr>
      <w:tr w:rsidR="00394904" w:rsidRPr="00320F79" w:rsidTr="00CA2E5D">
        <w:trPr>
          <w:trHeight w:val="284"/>
          <w:jc w:val="center"/>
        </w:trPr>
        <w:tc>
          <w:tcPr>
            <w:tcW w:w="1701" w:type="dxa"/>
            <w:tcBorders>
              <w:top w:val="single" w:sz="12" w:space="0" w:color="FFFFFF"/>
              <w:left w:val="nil"/>
              <w:bottom w:val="single" w:sz="12" w:space="0" w:color="FFFFFF"/>
            </w:tcBorders>
            <w:shd w:val="clear" w:color="auto" w:fill="F0EBE1"/>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94904"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26 January 2016 (Tuesday)</w:t>
            </w:r>
          </w:p>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394904" w:rsidRPr="00320F79" w:rsidTr="00CA2E5D">
        <w:trPr>
          <w:trHeight w:val="284"/>
          <w:jc w:val="center"/>
        </w:trPr>
        <w:tc>
          <w:tcPr>
            <w:tcW w:w="1701" w:type="dxa"/>
            <w:tcBorders>
              <w:top w:val="single" w:sz="12" w:space="0" w:color="FFFFFF"/>
              <w:left w:val="nil"/>
              <w:bottom w:val="single" w:sz="12" w:space="0" w:color="FFFFFF"/>
            </w:tcBorders>
            <w:shd w:val="clear" w:color="auto" w:fill="F0EBE1"/>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r>
              <w:rPr>
                <w:rFonts w:ascii="Arial" w:hAnsi="Arial" w:cs="Arial"/>
                <w:b/>
                <w:color w:val="6C6361"/>
                <w:sz w:val="20"/>
                <w:szCs w:val="20"/>
              </w:rPr>
              <w:t xml:space="preserve"> (Amended)</w:t>
            </w:r>
          </w:p>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 xml:space="preserve">(Reception starts at </w:t>
            </w:r>
            <w:r>
              <w:rPr>
                <w:rFonts w:ascii="Arial" w:hAnsi="Arial" w:cs="Arial"/>
                <w:color w:val="6C6361"/>
                <w:sz w:val="20"/>
                <w:szCs w:val="20"/>
              </w:rPr>
              <w:t>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94904"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w:t>
            </w:r>
            <w:r>
              <w:rPr>
                <w:rFonts w:ascii="Arial" w:hAnsi="Arial" w:cs="Arial"/>
                <w:b/>
                <w:color w:val="6C6361"/>
                <w:sz w:val="20"/>
                <w:szCs w:val="20"/>
              </w:rPr>
              <w:t>s</w:t>
            </w:r>
          </w:p>
          <w:p w:rsidR="00394904" w:rsidRPr="000F37DF"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F37DF">
              <w:rPr>
                <w:rFonts w:ascii="Arial" w:hAnsi="Arial" w:cs="Arial"/>
                <w:color w:val="6C6361"/>
                <w:sz w:val="20"/>
                <w:szCs w:val="20"/>
              </w:rPr>
              <w:t>(LSHK Allocated Number: 20154630)</w:t>
            </w:r>
          </w:p>
        </w:tc>
      </w:tr>
      <w:tr w:rsidR="00394904" w:rsidRPr="00320F79" w:rsidTr="00CA2E5D">
        <w:trPr>
          <w:trHeight w:val="1247"/>
          <w:jc w:val="center"/>
        </w:trPr>
        <w:tc>
          <w:tcPr>
            <w:tcW w:w="1701" w:type="dxa"/>
            <w:tcBorders>
              <w:top w:val="single" w:sz="12" w:space="0" w:color="FFFFFF"/>
              <w:left w:val="nil"/>
              <w:bottom w:val="nil"/>
            </w:tcBorders>
            <w:shd w:val="clear" w:color="auto" w:fill="F0EBE1"/>
            <w:vAlign w:val="center"/>
          </w:tcPr>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94904" w:rsidRPr="00320F79" w:rsidRDefault="00394904" w:rsidP="00CA2E5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394904" w:rsidRPr="00320F79"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94904" w:rsidRPr="00320F79" w:rsidRDefault="00394904" w:rsidP="00CA2E5D">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42ED106" wp14:editId="33159797">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94904" w:rsidRPr="00320F79" w:rsidRDefault="00394904" w:rsidP="00CA2E5D">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394904" w:rsidRPr="003A2A41"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94904" w:rsidRPr="003A2A41"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394904" w:rsidRPr="003A2A41"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94904" w:rsidRPr="003A2A41"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394904" w:rsidRPr="00156567" w:rsidRDefault="00394904" w:rsidP="00C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E654F79" wp14:editId="6FA6CA1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94904" w:rsidRDefault="00214BC6" w:rsidP="00394904">
      <w:pPr>
        <w:rPr>
          <w:sz w:val="2"/>
          <w:szCs w:val="2"/>
        </w:rPr>
      </w:pPr>
    </w:p>
    <w:sectPr w:rsidR="00214BC6" w:rsidRPr="0039490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5F5" w:rsidRDefault="00BE15F5" w:rsidP="00546556">
      <w:r>
        <w:separator/>
      </w:r>
    </w:p>
  </w:endnote>
  <w:endnote w:type="continuationSeparator" w:id="0">
    <w:p w:rsidR="00BE15F5" w:rsidRDefault="00BE15F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5F5" w:rsidRDefault="00BE15F5" w:rsidP="00546556">
      <w:r>
        <w:separator/>
      </w:r>
    </w:p>
  </w:footnote>
  <w:footnote w:type="continuationSeparator" w:id="0">
    <w:p w:rsidR="00BE15F5" w:rsidRDefault="00BE15F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vYI0/plFXwmQV2aHoRreP4oLbsfGyE+vsJauHjuGE1iu8YGBpIyYjVinnZVr7DJkcUkXGumqVvXJJEdusEZ4SA==" w:salt="5wpTw1XL8yOA+L+p/GvOA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2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0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D3B83-B28A-47CF-A762-6B2BD000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Nuts and Bolts in Aspirational Family Mediation</vt:lpstr>
    </vt:vector>
  </TitlesOfParts>
  <Manager>Tyrone Tsang</Manager>
  <Company>The Profectional Company Limited</Company>
  <LinksUpToDate>false</LinksUpToDate>
  <CharactersWithSpaces>2848</CharactersWithSpaces>
  <SharedDoc>false</SharedDoc>
  <HyperlinkBase>http://download.profectional.com/events/EVT000000107.docx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International Intellectual Property Law Update: Trendspotting From Recent Free Trade Agreements</dc:title>
  <dc:subject>CPD Course: International Intellectual Property Law Update: Trendspotting From Recent Free Trade Agreements</dc:subject>
  <dc:creator>The Profectional Company Limited</dc:creator>
  <cp:keywords>Profectional; Kornerstone; CPD; CPT; CLE; CE; RME; Bryan Mercurio; Professor; Vice Chancellor's Outstanding Fellow; Faculty of Law; The Chinese University of Hong Kong</cp:keywords>
  <cp:lastModifiedBy>Tyrone Tsang</cp:lastModifiedBy>
  <cp:revision>21</cp:revision>
  <cp:lastPrinted>2016-01-25T10:30:00Z</cp:lastPrinted>
  <dcterms:created xsi:type="dcterms:W3CDTF">2015-08-21T08:33:00Z</dcterms:created>
  <dcterms:modified xsi:type="dcterms:W3CDTF">2016-01-25T10:30:00Z</dcterms:modified>
</cp:coreProperties>
</file>