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BAF" w:rsidRPr="003E3BAF" w:rsidRDefault="003E3BAF" w:rsidP="003E3BA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E3BAF" w:rsidRPr="00523A64" w:rsidTr="00E666EF">
        <w:trPr>
          <w:trHeight w:val="3119"/>
          <w:jc w:val="center"/>
        </w:trPr>
        <w:tc>
          <w:tcPr>
            <w:tcW w:w="4820" w:type="dxa"/>
            <w:shd w:val="clear" w:color="auto" w:fill="FFFFFF"/>
            <w:vAlign w:val="center"/>
          </w:tcPr>
          <w:p w:rsidR="003E3BAF" w:rsidRPr="005455CF" w:rsidRDefault="003E3BAF" w:rsidP="00E666EF">
            <w:pPr>
              <w:jc w:val="center"/>
              <w:rPr>
                <w:rFonts w:ascii="Arial" w:hAnsi="Arial" w:cs="Arial"/>
                <w:b/>
                <w:bCs/>
                <w:color w:val="524B48"/>
                <w:sz w:val="8"/>
                <w:szCs w:val="8"/>
              </w:rPr>
            </w:pPr>
          </w:p>
          <w:p w:rsidR="003E3BAF" w:rsidRDefault="003E3BAF" w:rsidP="00E666EF">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"http://cpd.hk/evt000000112/"</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Home Ownership Scheme</w:t>
            </w:r>
          </w:p>
          <w:p w:rsidR="003E3BAF" w:rsidRDefault="003E3BAF" w:rsidP="00E666EF">
            <w:pPr>
              <w:jc w:val="center"/>
              <w:rPr>
                <w:rStyle w:val="Hyperlink"/>
                <w:rFonts w:ascii="Arial" w:hAnsi="Arial" w:cs="Arial"/>
                <w:b/>
                <w:bCs/>
                <w:color w:val="524B48"/>
                <w:sz w:val="32"/>
                <w:szCs w:val="32"/>
                <w:u w:val="none"/>
              </w:rPr>
            </w:pPr>
            <w:r w:rsidRPr="00B8559C">
              <w:rPr>
                <w:rStyle w:val="Hyperlink"/>
                <w:rFonts w:ascii="Arial" w:hAnsi="Arial" w:cs="Arial"/>
                <w:b/>
                <w:bCs/>
                <w:color w:val="524B48"/>
                <w:sz w:val="32"/>
                <w:szCs w:val="32"/>
                <w:u w:val="none"/>
              </w:rPr>
              <w:t xml:space="preserve">in </w:t>
            </w:r>
            <w:r>
              <w:rPr>
                <w:rStyle w:val="Hyperlink"/>
                <w:rFonts w:ascii="Arial" w:hAnsi="Arial" w:cs="Arial"/>
                <w:b/>
                <w:bCs/>
                <w:color w:val="524B48"/>
                <w:sz w:val="32"/>
                <w:szCs w:val="32"/>
                <w:u w:val="none"/>
              </w:rPr>
              <w:t>Hong Kong:</w:t>
            </w:r>
          </w:p>
          <w:p w:rsidR="003E3BAF" w:rsidRDefault="003E3BAF" w:rsidP="00E666E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Private Sector</w:t>
            </w:r>
          </w:p>
          <w:p w:rsidR="003E3BAF" w:rsidRDefault="003E3BAF" w:rsidP="00E666E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Participation Scheme</w:t>
            </w:r>
          </w:p>
          <w:p w:rsidR="003E3BAF" w:rsidRDefault="003E3BAF" w:rsidP="00E666E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Development and</w:t>
            </w:r>
          </w:p>
          <w:p w:rsidR="003E3BAF" w:rsidRPr="00B8559C" w:rsidRDefault="003E3BAF" w:rsidP="00E666E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Black Spot Task Force</w:t>
            </w:r>
          </w:p>
          <w:p w:rsidR="003E3BAF" w:rsidRPr="00510FE2" w:rsidRDefault="003E3BAF" w:rsidP="00E666EF">
            <w:pPr>
              <w:jc w:val="center"/>
              <w:rPr>
                <w:rFonts w:ascii="Arial" w:hAnsi="Arial" w:cs="Arial"/>
                <w:b/>
                <w:bCs/>
                <w:sz w:val="28"/>
                <w:szCs w:val="28"/>
              </w:rPr>
            </w:pPr>
            <w:r w:rsidRPr="00B8559C">
              <w:rPr>
                <w:rFonts w:ascii="Arial" w:hAnsi="Arial" w:cs="Arial"/>
                <w:b/>
                <w:bCs/>
                <w:color w:val="524B48"/>
                <w:sz w:val="32"/>
                <w:szCs w:val="32"/>
              </w:rPr>
              <w:fldChar w:fldCharType="end"/>
            </w:r>
          </w:p>
          <w:p w:rsidR="003E3BAF" w:rsidRPr="009D67FA" w:rsidRDefault="003E3BAF" w:rsidP="00E666EF">
            <w:pPr>
              <w:jc w:val="center"/>
              <w:rPr>
                <w:rFonts w:ascii="Arial" w:hAnsi="Arial" w:cs="Arial"/>
                <w:i/>
                <w:color w:val="6C6361"/>
                <w:sz w:val="24"/>
                <w:szCs w:val="24"/>
              </w:rPr>
            </w:pPr>
            <w:r w:rsidRPr="009D67FA">
              <w:rPr>
                <w:rFonts w:ascii="Arial" w:hAnsi="Arial" w:cs="Arial"/>
                <w:i/>
                <w:color w:val="6C6361"/>
                <w:sz w:val="24"/>
                <w:szCs w:val="24"/>
              </w:rPr>
              <w:t>by</w:t>
            </w:r>
          </w:p>
          <w:p w:rsidR="003E3BAF" w:rsidRPr="00B8559C" w:rsidRDefault="003E3BAF" w:rsidP="00E666EF">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w:t>
              </w:r>
              <w:r w:rsidRPr="00AC7DF6">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 xml:space="preserve">Leung Sun </w:t>
              </w:r>
              <w:proofErr w:type="spellStart"/>
              <w:r>
                <w:rPr>
                  <w:rStyle w:val="Hyperlink"/>
                  <w:rFonts w:ascii="Arial" w:hAnsi="Arial" w:cs="Arial"/>
                  <w:color w:val="6C6361"/>
                  <w:sz w:val="24"/>
                  <w:szCs w:val="24"/>
                  <w:u w:val="none"/>
                </w:rPr>
                <w:t>Chuen</w:t>
              </w:r>
              <w:proofErr w:type="spellEnd"/>
            </w:hyperlink>
            <w:r w:rsidRPr="00B8559C">
              <w:rPr>
                <w:rFonts w:ascii="Arial" w:hAnsi="Arial" w:cs="Arial"/>
                <w:color w:val="524B48"/>
                <w:sz w:val="24"/>
                <w:szCs w:val="24"/>
              </w:rPr>
              <w:t>,</w:t>
            </w:r>
          </w:p>
          <w:p w:rsidR="003E3BAF" w:rsidRDefault="003E3BAF" w:rsidP="00E666EF">
            <w:pPr>
              <w:jc w:val="center"/>
              <w:rPr>
                <w:rFonts w:ascii="Arial" w:hAnsi="Arial" w:cs="Arial"/>
                <w:color w:val="6C6361"/>
                <w:sz w:val="24"/>
                <w:szCs w:val="24"/>
              </w:rPr>
            </w:pPr>
            <w:r>
              <w:rPr>
                <w:rFonts w:ascii="Arial" w:hAnsi="Arial" w:cs="Arial"/>
                <w:color w:val="6C6361"/>
                <w:sz w:val="24"/>
                <w:szCs w:val="24"/>
              </w:rPr>
              <w:t>Fellow Member,</w:t>
            </w:r>
          </w:p>
          <w:p w:rsidR="003E3BAF" w:rsidRDefault="003E3BAF" w:rsidP="00E666EF">
            <w:pPr>
              <w:jc w:val="center"/>
              <w:rPr>
                <w:rFonts w:ascii="Arial" w:hAnsi="Arial" w:cs="Arial"/>
                <w:color w:val="6C6361"/>
                <w:sz w:val="24"/>
                <w:szCs w:val="24"/>
              </w:rPr>
            </w:pPr>
            <w:r>
              <w:rPr>
                <w:rFonts w:ascii="Arial" w:hAnsi="Arial" w:cs="Arial"/>
                <w:color w:val="6C6361"/>
                <w:sz w:val="24"/>
                <w:szCs w:val="24"/>
              </w:rPr>
              <w:t>Hong Kong Institute of Surveyors,</w:t>
            </w:r>
          </w:p>
          <w:p w:rsidR="003E3BAF" w:rsidRDefault="003E3BAF" w:rsidP="00E666EF">
            <w:pPr>
              <w:jc w:val="center"/>
              <w:rPr>
                <w:rFonts w:ascii="Arial" w:hAnsi="Arial" w:cs="Arial"/>
                <w:color w:val="6C6361"/>
                <w:sz w:val="24"/>
                <w:szCs w:val="24"/>
              </w:rPr>
            </w:pPr>
            <w:r>
              <w:rPr>
                <w:rFonts w:ascii="Arial" w:hAnsi="Arial" w:cs="Arial"/>
                <w:color w:val="6C6361"/>
                <w:sz w:val="24"/>
                <w:szCs w:val="24"/>
              </w:rPr>
              <w:t>Former Lecturer,</w:t>
            </w:r>
          </w:p>
          <w:p w:rsidR="003E3BAF" w:rsidRDefault="003E3BAF" w:rsidP="00E666EF">
            <w:pPr>
              <w:jc w:val="center"/>
              <w:rPr>
                <w:rFonts w:ascii="Arial" w:hAnsi="Arial" w:cs="Arial"/>
                <w:color w:val="6C6361"/>
                <w:sz w:val="24"/>
                <w:szCs w:val="24"/>
              </w:rPr>
            </w:pPr>
            <w:r>
              <w:rPr>
                <w:rFonts w:ascii="Arial" w:hAnsi="Arial" w:cs="Arial"/>
                <w:color w:val="6C6361"/>
                <w:sz w:val="24"/>
                <w:szCs w:val="24"/>
              </w:rPr>
              <w:t>City University of Hong Kong</w:t>
            </w:r>
          </w:p>
          <w:p w:rsidR="003E3BAF" w:rsidRPr="005455CF" w:rsidRDefault="003E3BAF" w:rsidP="00E666EF">
            <w:pPr>
              <w:jc w:val="center"/>
              <w:rPr>
                <w:rFonts w:ascii="Arial" w:hAnsi="Arial" w:cs="Arial"/>
                <w:color w:val="6C6361"/>
                <w:sz w:val="8"/>
                <w:szCs w:val="8"/>
              </w:rPr>
            </w:pPr>
          </w:p>
        </w:tc>
        <w:tc>
          <w:tcPr>
            <w:tcW w:w="5954" w:type="dxa"/>
            <w:shd w:val="clear" w:color="auto" w:fill="FFFFFF"/>
            <w:vAlign w:val="center"/>
          </w:tcPr>
          <w:p w:rsidR="003E3BAF" w:rsidRPr="00D50772" w:rsidRDefault="003E3BAF" w:rsidP="00E666EF">
            <w:pPr>
              <w:spacing w:line="276" w:lineRule="auto"/>
              <w:jc w:val="center"/>
              <w:rPr>
                <w:rFonts w:ascii="Arial" w:eastAsia="Times New Roman" w:hAnsi="Arial" w:cs="Arial"/>
                <w:noProof/>
                <w:sz w:val="20"/>
                <w:szCs w:val="20"/>
              </w:rPr>
            </w:pPr>
            <w:r w:rsidRPr="005A7B74">
              <w:rPr>
                <w:rFonts w:ascii="Arial" w:eastAsia="Times New Roman" w:hAnsi="Arial" w:cs="Arial"/>
                <w:noProof/>
                <w:sz w:val="20"/>
                <w:szCs w:val="20"/>
              </w:rPr>
              <w:drawing>
                <wp:anchor distT="0" distB="0" distL="114300" distR="114300" simplePos="0" relativeHeight="251659264" behindDoc="0" locked="0" layoutInCell="1" allowOverlap="1" wp14:anchorId="0829B24C" wp14:editId="42A9BB64">
                  <wp:simplePos x="0" y="0"/>
                  <wp:positionH relativeFrom="column">
                    <wp:posOffset>3175635</wp:posOffset>
                  </wp:positionH>
                  <wp:positionV relativeFrom="paragraph">
                    <wp:posOffset>-450215</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486C47F" wp14:editId="412CF575">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E3BAF" w:rsidRPr="00896C14" w:rsidRDefault="003E3BAF" w:rsidP="005C693B">
      <w:pPr>
        <w:spacing w:line="276" w:lineRule="auto"/>
        <w:jc w:val="left"/>
        <w:rPr>
          <w:rFonts w:ascii="Arial" w:hAnsi="Arial" w:cs="Arial"/>
          <w:sz w:val="20"/>
        </w:rPr>
      </w:pPr>
    </w:p>
    <w:tbl>
      <w:tblPr>
        <w:tblW w:w="10773" w:type="dxa"/>
        <w:jc w:val="center"/>
        <w:tblLook w:val="04A0" w:firstRow="1" w:lastRow="0" w:firstColumn="1" w:lastColumn="0" w:noHBand="0" w:noVBand="1"/>
      </w:tblPr>
      <w:tblGrid>
        <w:gridCol w:w="1985"/>
        <w:gridCol w:w="8788"/>
      </w:tblGrid>
      <w:tr w:rsidR="005C693B" w:rsidRPr="00D775BA" w:rsidTr="00601EFD">
        <w:trPr>
          <w:trHeight w:val="3563"/>
          <w:jc w:val="center"/>
        </w:trPr>
        <w:tc>
          <w:tcPr>
            <w:tcW w:w="1985" w:type="dxa"/>
            <w:shd w:val="clear" w:color="auto" w:fill="FFFFFF"/>
            <w:vAlign w:val="center"/>
          </w:tcPr>
          <w:p w:rsidR="005C693B" w:rsidRPr="00D775BA" w:rsidRDefault="005C693B" w:rsidP="00601EFD">
            <w:pPr>
              <w:spacing w:line="276" w:lineRule="auto"/>
              <w:jc w:val="center"/>
              <w:rPr>
                <w:rFonts w:ascii="Arial" w:hAnsi="Arial" w:cs="Arial"/>
              </w:rPr>
            </w:pPr>
            <w:r w:rsidRPr="00D775BA">
              <w:rPr>
                <w:rFonts w:ascii="Arial" w:hAnsi="Arial" w:cs="Arial"/>
                <w:noProof/>
              </w:rPr>
              <w:drawing>
                <wp:inline distT="0" distB="0" distL="0" distR="0" wp14:anchorId="2A582008" wp14:editId="11D19BF7">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5C693B" w:rsidRDefault="005C693B" w:rsidP="005C693B">
            <w:pPr>
              <w:spacing w:line="276" w:lineRule="auto"/>
              <w:rPr>
                <w:rFonts w:ascii="Arial" w:hAnsi="Arial" w:cs="Arial"/>
                <w:color w:val="6C6361"/>
              </w:rPr>
            </w:pPr>
            <w:r w:rsidRPr="00D775BA">
              <w:rPr>
                <w:rFonts w:ascii="Arial" w:hAnsi="Arial" w:cs="Arial"/>
                <w:color w:val="6C6361"/>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D775BA">
              <w:rPr>
                <w:rFonts w:ascii="Arial" w:hAnsi="Arial" w:cs="Arial"/>
                <w:color w:val="6C6361"/>
              </w:rPr>
              <w:t>Estate</w:t>
            </w:r>
            <w:proofErr w:type="gramEnd"/>
            <w:r w:rsidRPr="00D775BA">
              <w:rPr>
                <w:rFonts w:ascii="Arial" w:hAnsi="Arial" w:cs="Arial"/>
                <w:color w:val="6C6361"/>
              </w:rPr>
              <w:t xml:space="preserve"> Surveying Studio etc.</w:t>
            </w:r>
          </w:p>
          <w:p w:rsidR="005C693B" w:rsidRPr="005C693B" w:rsidRDefault="005C693B" w:rsidP="005C693B">
            <w:pPr>
              <w:spacing w:line="276" w:lineRule="auto"/>
              <w:rPr>
                <w:rFonts w:ascii="Arial" w:hAnsi="Arial" w:cs="Arial"/>
                <w:color w:val="6C6361"/>
                <w:sz w:val="12"/>
              </w:rPr>
            </w:pPr>
          </w:p>
          <w:p w:rsidR="005C693B" w:rsidRPr="00D775BA" w:rsidRDefault="005C693B" w:rsidP="005C693B">
            <w:pPr>
              <w:spacing w:line="276" w:lineRule="auto"/>
              <w:rPr>
                <w:rFonts w:ascii="Arial" w:hAnsi="Arial" w:cs="Arial"/>
                <w:color w:val="6C6361"/>
              </w:rPr>
            </w:pPr>
            <w:r w:rsidRPr="00D775BA">
              <w:rPr>
                <w:rFonts w:ascii="Arial" w:hAnsi="Arial" w:cs="Arial"/>
                <w:color w:val="6C6361"/>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3E3BAF" w:rsidRPr="00896C14" w:rsidRDefault="003E3BAF" w:rsidP="003E3BAF">
      <w:pPr>
        <w:spacing w:line="276" w:lineRule="auto"/>
        <w:contextualSpacing/>
        <w:jc w:val="left"/>
        <w:rPr>
          <w:rFonts w:ascii="Arial" w:hAnsi="Arial" w:cs="Arial"/>
          <w:sz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3E3BAF" w:rsidRPr="000F672D" w:rsidTr="00E666EF">
        <w:trPr>
          <w:trHeight w:val="2798"/>
          <w:jc w:val="center"/>
        </w:trPr>
        <w:tc>
          <w:tcPr>
            <w:tcW w:w="10773" w:type="dxa"/>
            <w:shd w:val="clear" w:color="auto" w:fill="FFFFFF" w:themeFill="background1"/>
            <w:vAlign w:val="center"/>
          </w:tcPr>
          <w:p w:rsidR="003E3BAF" w:rsidRPr="000F672D" w:rsidRDefault="003E3BAF" w:rsidP="00E666EF">
            <w:pPr>
              <w:spacing w:line="276" w:lineRule="auto"/>
              <w:rPr>
                <w:rFonts w:ascii="Arial" w:eastAsia="Times New Roman" w:hAnsi="Arial" w:cs="Arial"/>
                <w:color w:val="6C6361"/>
              </w:rPr>
            </w:pPr>
            <w:r w:rsidRPr="000F672D">
              <w:rPr>
                <w:rFonts w:ascii="Arial" w:eastAsia="Times New Roman" w:hAnsi="Arial" w:cs="Arial"/>
                <w:color w:val="6C6361"/>
              </w:rPr>
              <w:t>In order to assist and encourage lower middle class in Hong Kong affording their own homes, the Home Ownership Scheme (HOS) was introduced.  In addition, the Private Sector Participation Scheme (PSPS) has also been implemented to further increase the production of HOS housings with resources from the private sector, to satisfy the ever increasing demand for owning homes.  As a result overtime, many complaints had been received against the construction standards of these PSPS flats.</w:t>
            </w:r>
          </w:p>
          <w:p w:rsidR="003E3BAF" w:rsidRPr="000F672D" w:rsidRDefault="003E3BAF" w:rsidP="00E666EF">
            <w:pPr>
              <w:spacing w:line="276" w:lineRule="auto"/>
              <w:rPr>
                <w:rFonts w:ascii="Arial" w:eastAsia="Times New Roman" w:hAnsi="Arial" w:cs="Arial"/>
                <w:color w:val="6C6361"/>
                <w:sz w:val="12"/>
                <w:szCs w:val="12"/>
              </w:rPr>
            </w:pPr>
          </w:p>
          <w:p w:rsidR="003E3BAF" w:rsidRPr="000F672D" w:rsidRDefault="003E3BAF" w:rsidP="00E666EF">
            <w:pPr>
              <w:spacing w:line="276" w:lineRule="auto"/>
              <w:rPr>
                <w:rFonts w:ascii="Arial" w:eastAsia="Times New Roman" w:hAnsi="Arial" w:cs="Arial"/>
                <w:color w:val="6C6361"/>
              </w:rPr>
            </w:pPr>
            <w:r w:rsidRPr="000F672D">
              <w:rPr>
                <w:rFonts w:ascii="Arial" w:eastAsia="Times New Roman" w:hAnsi="Arial" w:cs="Arial"/>
                <w:color w:val="6C6361"/>
              </w:rPr>
              <w:t>In view of the substantial negative effects from excessive open storage and industrial undertakings in the New Territories, which have been in existence since 1991, a Task Force (Black Spots) (TFB) was setup in 1994 to resolve the undesirable effects brought by those 'black spots'.</w:t>
            </w:r>
          </w:p>
        </w:tc>
      </w:tr>
      <w:tr w:rsidR="003E3BAF" w:rsidRPr="000F672D" w:rsidTr="00E666EF">
        <w:trPr>
          <w:trHeight w:val="397"/>
          <w:jc w:val="center"/>
        </w:trPr>
        <w:tc>
          <w:tcPr>
            <w:tcW w:w="10773" w:type="dxa"/>
            <w:tcBorders>
              <w:top w:val="nil"/>
            </w:tcBorders>
            <w:shd w:val="clear" w:color="auto" w:fill="F0EBE1"/>
            <w:vAlign w:val="center"/>
          </w:tcPr>
          <w:p w:rsidR="003E3BAF" w:rsidRPr="000F672D" w:rsidRDefault="003E3BAF" w:rsidP="00E666EF">
            <w:pPr>
              <w:spacing w:line="276" w:lineRule="auto"/>
              <w:jc w:val="left"/>
              <w:rPr>
                <w:rFonts w:ascii="Arial" w:hAnsi="Arial" w:cs="Arial"/>
                <w:b/>
                <w:color w:val="524B48"/>
              </w:rPr>
            </w:pPr>
            <w:r w:rsidRPr="000F672D">
              <w:rPr>
                <w:rFonts w:ascii="Arial" w:hAnsi="Arial" w:cs="Arial"/>
                <w:b/>
                <w:color w:val="524B48"/>
              </w:rPr>
              <w:t>In this seminar, Mr. Leung is going to share with us on the followings:</w:t>
            </w:r>
          </w:p>
        </w:tc>
      </w:tr>
      <w:tr w:rsidR="003E3BAF" w:rsidRPr="00FF2172" w:rsidTr="00E666EF">
        <w:trPr>
          <w:trHeight w:val="2150"/>
          <w:jc w:val="center"/>
        </w:trPr>
        <w:tc>
          <w:tcPr>
            <w:tcW w:w="10773" w:type="dxa"/>
            <w:tcBorders>
              <w:bottom w:val="nil"/>
            </w:tcBorders>
            <w:shd w:val="clear" w:color="auto" w:fill="FFFFFF"/>
            <w:vAlign w:val="center"/>
          </w:tcPr>
          <w:p w:rsidR="003E3BAF" w:rsidRPr="00FF2172" w:rsidRDefault="003E3BAF" w:rsidP="00E666EF">
            <w:pPr>
              <w:pStyle w:val="ListParagraph"/>
              <w:numPr>
                <w:ilvl w:val="0"/>
                <w:numId w:val="2"/>
              </w:numPr>
              <w:spacing w:line="276" w:lineRule="auto"/>
              <w:jc w:val="left"/>
              <w:rPr>
                <w:rFonts w:ascii="Arial" w:hAnsi="Arial" w:cs="Arial"/>
                <w:color w:val="6C6361"/>
              </w:rPr>
            </w:pPr>
            <w:r w:rsidRPr="00FF2172">
              <w:rPr>
                <w:rFonts w:ascii="Arial" w:hAnsi="Arial" w:cs="Arial"/>
                <w:color w:val="6C6361"/>
              </w:rPr>
              <w:t>Home Ownership Scheme (HOS)</w:t>
            </w:r>
          </w:p>
          <w:p w:rsidR="003E3BAF" w:rsidRPr="00FF2172"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White Forms and Green Forms</w:t>
            </w:r>
          </w:p>
          <w:p w:rsidR="003E3BAF" w:rsidRPr="00FF2172"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Discounted Pricing</w:t>
            </w:r>
          </w:p>
          <w:p w:rsidR="003E3BAF" w:rsidRPr="00FF2172"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 xml:space="preserve">Nominated Purchasers </w:t>
            </w:r>
          </w:p>
          <w:p w:rsidR="003E3BAF" w:rsidRPr="00FF2172"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Premium Payable</w:t>
            </w:r>
          </w:p>
          <w:p w:rsidR="003E3BAF" w:rsidRPr="00FF2172"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Housing Policy Encouraging Home Ownerships</w:t>
            </w:r>
          </w:p>
        </w:tc>
      </w:tr>
    </w:tbl>
    <w:p w:rsidR="003E3BAF" w:rsidRDefault="003E3BAF" w:rsidP="003E3BAF">
      <w:pPr>
        <w:spacing w:line="276" w:lineRule="auto"/>
        <w:rPr>
          <w:rFonts w:ascii="Arial" w:hAnsi="Arial" w:cs="Arial"/>
          <w:sz w:val="20"/>
        </w:rPr>
      </w:pPr>
    </w:p>
    <w:p w:rsidR="003E3BAF" w:rsidRPr="003E3BAF" w:rsidRDefault="003E3BAF" w:rsidP="003E3BAF">
      <w:pPr>
        <w:spacing w:line="276" w:lineRule="auto"/>
        <w:rPr>
          <w:rFonts w:ascii="Arial" w:hAnsi="Arial" w:cs="Arial"/>
          <w:sz w:val="2"/>
          <w:szCs w:val="2"/>
        </w:rPr>
      </w:pPr>
    </w:p>
    <w:p w:rsidR="003E3BAF" w:rsidRPr="003E3BAF" w:rsidRDefault="003E3BAF" w:rsidP="003E3BAF">
      <w:pPr>
        <w:spacing w:line="276" w:lineRule="auto"/>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3E3BAF" w:rsidRPr="000F672D" w:rsidTr="00E666EF">
        <w:trPr>
          <w:trHeight w:val="5812"/>
          <w:jc w:val="center"/>
        </w:trPr>
        <w:tc>
          <w:tcPr>
            <w:tcW w:w="9072" w:type="dxa"/>
            <w:tcBorders>
              <w:bottom w:val="nil"/>
              <w:right w:val="nil"/>
            </w:tcBorders>
            <w:shd w:val="clear" w:color="auto" w:fill="FFFFFF"/>
            <w:vAlign w:val="center"/>
          </w:tcPr>
          <w:p w:rsidR="003E3BAF" w:rsidRPr="00FF2172" w:rsidRDefault="003E3BAF" w:rsidP="00E666EF">
            <w:pPr>
              <w:pStyle w:val="ListParagraph"/>
              <w:numPr>
                <w:ilvl w:val="0"/>
                <w:numId w:val="2"/>
              </w:numPr>
              <w:spacing w:line="276" w:lineRule="auto"/>
              <w:jc w:val="left"/>
              <w:rPr>
                <w:rFonts w:ascii="Arial" w:hAnsi="Arial" w:cs="Arial"/>
                <w:color w:val="6C6361"/>
              </w:rPr>
            </w:pPr>
            <w:r w:rsidRPr="00FF2172">
              <w:rPr>
                <w:rFonts w:ascii="Arial" w:hAnsi="Arial" w:cs="Arial"/>
                <w:color w:val="6C6361"/>
              </w:rPr>
              <w:t>Private Sector Participation Scheme (PSPS) Development</w:t>
            </w:r>
          </w:p>
          <w:p w:rsidR="003E3BAF"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Monitoring Surveyor (MS)</w:t>
            </w:r>
          </w:p>
          <w:p w:rsidR="003E3BAF"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Technical Schedule</w:t>
            </w:r>
          </w:p>
          <w:p w:rsidR="003E3BAF"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Retention Sum</w:t>
            </w:r>
          </w:p>
          <w:p w:rsidR="003E3BAF"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Defect Liability Period (DLP)</w:t>
            </w:r>
          </w:p>
          <w:p w:rsidR="003E3BAF"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Guaranteed Price</w:t>
            </w:r>
          </w:p>
          <w:p w:rsidR="003E3BAF"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Tender System</w:t>
            </w:r>
          </w:p>
          <w:p w:rsidR="003E3BAF"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Problem Associated with the PSPS Scheme</w:t>
            </w:r>
          </w:p>
          <w:p w:rsidR="003E3BAF"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Essentially a Private Sector Development</w:t>
            </w:r>
          </w:p>
          <w:p w:rsidR="003E3BAF" w:rsidRPr="00FF2172" w:rsidRDefault="003E3BAF" w:rsidP="00E666EF">
            <w:pPr>
              <w:spacing w:line="276" w:lineRule="auto"/>
              <w:jc w:val="left"/>
              <w:rPr>
                <w:rFonts w:ascii="Arial" w:hAnsi="Arial" w:cs="Arial"/>
                <w:color w:val="6C6361"/>
                <w:sz w:val="12"/>
                <w:szCs w:val="12"/>
              </w:rPr>
            </w:pPr>
          </w:p>
          <w:p w:rsidR="003E3BAF" w:rsidRDefault="003E3BAF" w:rsidP="00E666EF">
            <w:pPr>
              <w:pStyle w:val="ListParagraph"/>
              <w:numPr>
                <w:ilvl w:val="0"/>
                <w:numId w:val="2"/>
              </w:numPr>
              <w:spacing w:line="276" w:lineRule="auto"/>
              <w:jc w:val="left"/>
              <w:rPr>
                <w:rFonts w:ascii="Arial" w:hAnsi="Arial" w:cs="Arial"/>
                <w:color w:val="6C6361"/>
              </w:rPr>
            </w:pPr>
            <w:r w:rsidRPr="00FF2172">
              <w:rPr>
                <w:rFonts w:ascii="Arial" w:hAnsi="Arial" w:cs="Arial"/>
                <w:color w:val="6C6361"/>
              </w:rPr>
              <w:t>Black Spot Task Force</w:t>
            </w:r>
          </w:p>
          <w:p w:rsidR="003E3BAF"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Block Crown Lease</w:t>
            </w:r>
          </w:p>
          <w:p w:rsidR="003E3BAF"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New Territories Land Tenure System</w:t>
            </w:r>
          </w:p>
          <w:p w:rsidR="003E3BAF"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 xml:space="preserve">The </w:t>
            </w:r>
            <w:proofErr w:type="spellStart"/>
            <w:r w:rsidRPr="00FF2172">
              <w:rPr>
                <w:rFonts w:ascii="Arial" w:hAnsi="Arial" w:cs="Arial"/>
                <w:color w:val="6C6361"/>
              </w:rPr>
              <w:t>Melhado</w:t>
            </w:r>
            <w:proofErr w:type="spellEnd"/>
            <w:r w:rsidRPr="00FF2172">
              <w:rPr>
                <w:rFonts w:ascii="Arial" w:hAnsi="Arial" w:cs="Arial"/>
                <w:color w:val="6C6361"/>
              </w:rPr>
              <w:t xml:space="preserve"> Case</w:t>
            </w:r>
          </w:p>
          <w:p w:rsidR="003E3BAF"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Development Permission Area Plans (DPA Plans) under To</w:t>
            </w:r>
            <w:r>
              <w:rPr>
                <w:rFonts w:ascii="Arial" w:hAnsi="Arial" w:cs="Arial"/>
                <w:color w:val="6C6361"/>
              </w:rPr>
              <w:t>wn Planning Ordinance (Cap. 131)</w:t>
            </w:r>
          </w:p>
          <w:p w:rsidR="003E3BAF" w:rsidRDefault="003E3BAF" w:rsidP="00E666EF">
            <w:pPr>
              <w:pStyle w:val="ListParagraph"/>
              <w:numPr>
                <w:ilvl w:val="1"/>
                <w:numId w:val="2"/>
              </w:numPr>
              <w:spacing w:line="276" w:lineRule="auto"/>
              <w:jc w:val="left"/>
              <w:rPr>
                <w:rFonts w:ascii="Arial" w:hAnsi="Arial" w:cs="Arial"/>
                <w:color w:val="6C6361"/>
              </w:rPr>
            </w:pPr>
            <w:r w:rsidRPr="00FF2172">
              <w:rPr>
                <w:rFonts w:ascii="Arial" w:hAnsi="Arial" w:cs="Arial"/>
                <w:color w:val="6C6361"/>
              </w:rPr>
              <w:t>Existing Use</w:t>
            </w:r>
          </w:p>
          <w:p w:rsidR="003E3BAF" w:rsidRDefault="003E3BAF" w:rsidP="00E666EF">
            <w:pPr>
              <w:pStyle w:val="ListParagraph"/>
              <w:numPr>
                <w:ilvl w:val="1"/>
                <w:numId w:val="2"/>
              </w:numPr>
              <w:spacing w:line="276" w:lineRule="auto"/>
              <w:jc w:val="left"/>
              <w:rPr>
                <w:rFonts w:ascii="Arial" w:hAnsi="Arial" w:cs="Arial"/>
                <w:color w:val="6C6361"/>
              </w:rPr>
            </w:pPr>
            <w:r>
              <w:rPr>
                <w:rFonts w:ascii="Arial" w:hAnsi="Arial" w:cs="Arial"/>
                <w:color w:val="6C6361"/>
              </w:rPr>
              <w:t>Power of Enforcement</w:t>
            </w:r>
          </w:p>
          <w:p w:rsidR="003E3BAF" w:rsidRPr="00FF2172" w:rsidRDefault="003E3BAF" w:rsidP="00E666EF">
            <w:pPr>
              <w:spacing w:line="276" w:lineRule="auto"/>
              <w:jc w:val="left"/>
              <w:rPr>
                <w:rFonts w:ascii="Arial" w:hAnsi="Arial" w:cs="Arial"/>
                <w:color w:val="6C6361"/>
                <w:sz w:val="12"/>
                <w:szCs w:val="12"/>
              </w:rPr>
            </w:pPr>
          </w:p>
          <w:p w:rsidR="003E3BAF" w:rsidRPr="00FF2172" w:rsidRDefault="003E3BAF" w:rsidP="00E666EF">
            <w:pPr>
              <w:pStyle w:val="ListParagraph"/>
              <w:numPr>
                <w:ilvl w:val="0"/>
                <w:numId w:val="2"/>
              </w:numPr>
              <w:spacing w:line="276" w:lineRule="auto"/>
              <w:jc w:val="left"/>
              <w:rPr>
                <w:rFonts w:ascii="Arial" w:hAnsi="Arial" w:cs="Arial"/>
                <w:color w:val="6C6361"/>
              </w:rPr>
            </w:pPr>
            <w:r w:rsidRPr="00FF2172">
              <w:rPr>
                <w:rFonts w:ascii="Arial" w:hAnsi="Arial" w:cs="Arial"/>
                <w:color w:val="6C6361"/>
              </w:rPr>
              <w:t>Group Discussion &amp; Exercise</w:t>
            </w:r>
          </w:p>
        </w:tc>
        <w:tc>
          <w:tcPr>
            <w:tcW w:w="1701" w:type="dxa"/>
            <w:tcBorders>
              <w:left w:val="nil"/>
              <w:bottom w:val="nil"/>
            </w:tcBorders>
            <w:shd w:val="clear" w:color="auto" w:fill="FFFFFF"/>
            <w:vAlign w:val="bottom"/>
          </w:tcPr>
          <w:p w:rsidR="003E3BAF" w:rsidRDefault="003E3BAF" w:rsidP="00E666EF">
            <w:pPr>
              <w:spacing w:line="276" w:lineRule="auto"/>
              <w:jc w:val="center"/>
              <w:rPr>
                <w:rFonts w:ascii="Arial" w:hAnsi="Arial" w:cs="Arial"/>
                <w:color w:val="6C6361"/>
              </w:rPr>
            </w:pPr>
            <w:r w:rsidRPr="002A159B">
              <w:rPr>
                <w:rFonts w:ascii="Arial" w:hAnsi="Arial" w:cs="Arial"/>
                <w:noProof/>
                <w:color w:val="6C6361"/>
              </w:rPr>
              <w:drawing>
                <wp:inline distT="0" distB="0" distL="0" distR="0" wp14:anchorId="1C09F7D9" wp14:editId="4575EDEA">
                  <wp:extent cx="892800" cy="101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p w:rsidR="003E3BAF" w:rsidRPr="00FF2172" w:rsidRDefault="003E3BAF" w:rsidP="00E666EF">
            <w:pPr>
              <w:spacing w:line="276" w:lineRule="auto"/>
              <w:jc w:val="center"/>
              <w:rPr>
                <w:rFonts w:ascii="Arial" w:hAnsi="Arial" w:cs="Arial"/>
                <w:color w:val="6C6361"/>
                <w:sz w:val="10"/>
                <w:szCs w:val="10"/>
              </w:rPr>
            </w:pPr>
          </w:p>
        </w:tc>
      </w:tr>
    </w:tbl>
    <w:p w:rsidR="003E3BAF" w:rsidRPr="00896C14" w:rsidRDefault="003E3BAF" w:rsidP="005C693B">
      <w:pPr>
        <w:spacing w:line="276" w:lineRule="auto"/>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3E3BAF" w:rsidRPr="005A2F25" w:rsidTr="00601EFD">
        <w:trPr>
          <w:trHeight w:val="397"/>
          <w:jc w:val="center"/>
        </w:trPr>
        <w:tc>
          <w:tcPr>
            <w:tcW w:w="1695" w:type="dxa"/>
            <w:tcBorders>
              <w:top w:val="nil"/>
              <w:left w:val="nil"/>
              <w:bottom w:val="single" w:sz="12" w:space="0" w:color="FFFFFF"/>
            </w:tcBorders>
            <w:shd w:val="clear" w:color="auto" w:fill="F0EBE1"/>
            <w:vAlign w:val="center"/>
          </w:tcPr>
          <w:p w:rsidR="003E3BAF" w:rsidRPr="002343E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3E3BAF" w:rsidRPr="002343E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EVT000000112</w:t>
            </w:r>
          </w:p>
        </w:tc>
        <w:tc>
          <w:tcPr>
            <w:tcW w:w="1700" w:type="dxa"/>
            <w:tcBorders>
              <w:top w:val="nil"/>
              <w:bottom w:val="single" w:sz="12" w:space="0" w:color="FFFFFF"/>
            </w:tcBorders>
            <w:shd w:val="clear" w:color="auto" w:fill="F0EBE1"/>
            <w:vAlign w:val="center"/>
          </w:tcPr>
          <w:p w:rsidR="003E3BAF" w:rsidRPr="002343E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3E3BAF" w:rsidRPr="002343E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3E3BAF" w:rsidRPr="005A2F25" w:rsidTr="00601EFD">
        <w:trPr>
          <w:trHeight w:val="397"/>
          <w:jc w:val="center"/>
        </w:trPr>
        <w:tc>
          <w:tcPr>
            <w:tcW w:w="1695" w:type="dxa"/>
            <w:tcBorders>
              <w:top w:val="single" w:sz="12" w:space="0" w:color="FFFFFF"/>
              <w:left w:val="nil"/>
              <w:bottom w:val="single" w:sz="12" w:space="0" w:color="FFFFFF"/>
            </w:tcBorders>
            <w:shd w:val="clear" w:color="auto" w:fill="F0EBE1"/>
            <w:vAlign w:val="center"/>
          </w:tcPr>
          <w:p w:rsidR="003E3BAF" w:rsidRPr="002343E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3E3BA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15 August 2016 (Monday)</w:t>
            </w:r>
          </w:p>
          <w:p w:rsidR="003E3BAF" w:rsidRPr="00482956"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0" w:type="dxa"/>
            <w:tcBorders>
              <w:top w:val="single" w:sz="12" w:space="0" w:color="FFFFFF"/>
              <w:bottom w:val="single" w:sz="12" w:space="0" w:color="FFFFFF"/>
            </w:tcBorders>
            <w:shd w:val="clear" w:color="auto" w:fill="F0EBE1"/>
            <w:vAlign w:val="center"/>
          </w:tcPr>
          <w:p w:rsidR="003E3BAF" w:rsidRPr="002343E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3E3BAF" w:rsidRPr="002343E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3E3BAF" w:rsidRPr="005A2F25" w:rsidTr="00601EFD">
        <w:trPr>
          <w:trHeight w:val="397"/>
          <w:jc w:val="center"/>
        </w:trPr>
        <w:tc>
          <w:tcPr>
            <w:tcW w:w="1695" w:type="dxa"/>
            <w:tcBorders>
              <w:top w:val="single" w:sz="12" w:space="0" w:color="FFFFFF"/>
              <w:left w:val="nil"/>
              <w:bottom w:val="single" w:sz="12" w:space="0" w:color="FFFFFF"/>
            </w:tcBorders>
            <w:shd w:val="clear" w:color="auto" w:fill="F0EBE1"/>
            <w:vAlign w:val="center"/>
          </w:tcPr>
          <w:p w:rsidR="003E3BAF" w:rsidRPr="002343E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3E3BA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14:30 - 17:45</w:t>
            </w:r>
          </w:p>
          <w:p w:rsidR="003E3BAF" w:rsidRPr="00EC7ADB"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0" w:type="dxa"/>
            <w:tcBorders>
              <w:top w:val="single" w:sz="12" w:space="0" w:color="FFFFFF"/>
              <w:bottom w:val="single" w:sz="12" w:space="0" w:color="FFFFFF"/>
            </w:tcBorders>
            <w:shd w:val="clear" w:color="auto" w:fill="F0EBE1"/>
            <w:vAlign w:val="center"/>
          </w:tcPr>
          <w:p w:rsidR="003E3BAF" w:rsidRPr="002343E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3E3BA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3E3BAF" w:rsidRPr="009807FA"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i/>
                <w:color w:val="6C6361"/>
                <w:sz w:val="20"/>
                <w:szCs w:val="20"/>
              </w:rPr>
            </w:pPr>
            <w:r w:rsidRPr="009807FA">
              <w:rPr>
                <w:rFonts w:ascii="Arial" w:hAnsi="Arial" w:cs="Arial"/>
                <w:i/>
                <w:color w:val="6C6361"/>
                <w:sz w:val="20"/>
                <w:szCs w:val="20"/>
              </w:rPr>
              <w:t>(LSHK Allocated Number: 20160392)</w:t>
            </w:r>
          </w:p>
        </w:tc>
      </w:tr>
      <w:tr w:rsidR="003E3BAF" w:rsidRPr="005A2F25" w:rsidTr="00601EFD">
        <w:trPr>
          <w:trHeight w:val="1247"/>
          <w:jc w:val="center"/>
        </w:trPr>
        <w:tc>
          <w:tcPr>
            <w:tcW w:w="1695" w:type="dxa"/>
            <w:tcBorders>
              <w:top w:val="single" w:sz="12" w:space="0" w:color="FFFFFF"/>
              <w:left w:val="nil"/>
              <w:bottom w:val="nil"/>
            </w:tcBorders>
            <w:shd w:val="clear" w:color="auto" w:fill="F0EBE1"/>
            <w:vAlign w:val="center"/>
          </w:tcPr>
          <w:p w:rsidR="003E3BAF" w:rsidRPr="002343E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3E3BAF" w:rsidRPr="00482956" w:rsidRDefault="003E3BAF" w:rsidP="003E3BA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3E3BAF" w:rsidRPr="00F36D9A"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3E3BAF" w:rsidRPr="00F36D9A"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3E3BAF" w:rsidRPr="002343EF"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E3BAF" w:rsidRPr="00334CAE" w:rsidRDefault="003E3BAF" w:rsidP="003E3BAF">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646C5045" wp14:editId="2A5054B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E3BAF" w:rsidRPr="00334CAE" w:rsidRDefault="003E3BAF" w:rsidP="003E3BAF">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3E3BAF" w:rsidRPr="003A2A41"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E3BAF" w:rsidRPr="003A2A41"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3E3BAF" w:rsidRPr="003A2A41"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3E3BAF" w:rsidRPr="003A2A41"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3E3BAF" w:rsidRPr="00156567" w:rsidRDefault="003E3BAF" w:rsidP="003E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6CDB3CF" wp14:editId="7C77FE2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5C693B" w:rsidRDefault="00214BC6" w:rsidP="005C693B"/>
    <w:sectPr w:rsidR="00214BC6" w:rsidRPr="005C693B"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815" w:rsidRDefault="00112815" w:rsidP="00546556">
      <w:r>
        <w:separator/>
      </w:r>
    </w:p>
  </w:endnote>
  <w:endnote w:type="continuationSeparator" w:id="0">
    <w:p w:rsidR="00112815" w:rsidRDefault="0011281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815" w:rsidRDefault="00112815" w:rsidP="00546556">
      <w:r>
        <w:separator/>
      </w:r>
    </w:p>
  </w:footnote>
  <w:footnote w:type="continuationSeparator" w:id="0">
    <w:p w:rsidR="00112815" w:rsidRDefault="0011281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avycJzkR4Px7a8CcpLG9afE90Y64m5pB+2drfwAlLwS7ZnmOVQRScG5YIwlvS90fFxWVe2bzs2guM4cYWRoawA==" w:salt="z5HEH0DKBqknxPeX1t46g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1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3A3F9-C61D-47DE-B340-4CD9A43C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Rating and Valuation in Hong Kong</vt:lpstr>
    </vt:vector>
  </TitlesOfParts>
  <Manager>Tyrone Tsang</Manager>
  <Company>The Profectional Company Limited</Company>
  <LinksUpToDate>false</LinksUpToDate>
  <CharactersWithSpaces>3197</CharactersWithSpaces>
  <SharedDoc>false</SharedDoc>
  <HyperlinkBase>http://download.profectional.com/events/EVT000000112.docx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Home Ownership Scheme in Hong Kong: Private Sector Participation Scheme Development and Black Spot Task Force</dc:title>
  <dc:subject>CPD Course: Home Ownership Scheme in Hong Kong: Private Sector Participation Scheme Development and Black Spot Task Force</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32</cp:revision>
  <cp:lastPrinted>2016-08-14T14:46:00Z</cp:lastPrinted>
  <dcterms:created xsi:type="dcterms:W3CDTF">2015-08-21T08:33:00Z</dcterms:created>
  <dcterms:modified xsi:type="dcterms:W3CDTF">2016-08-14T14:46:00Z</dcterms:modified>
</cp:coreProperties>
</file>