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559" w:rsidRPr="00A12559" w:rsidRDefault="00A12559" w:rsidP="00A1255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12559" w:rsidRPr="00523A64" w:rsidTr="006338AE">
        <w:trPr>
          <w:trHeight w:val="3119"/>
          <w:jc w:val="center"/>
        </w:trPr>
        <w:tc>
          <w:tcPr>
            <w:tcW w:w="4820" w:type="dxa"/>
            <w:shd w:val="clear" w:color="auto" w:fill="FFFFFF"/>
            <w:vAlign w:val="center"/>
          </w:tcPr>
          <w:p w:rsidR="00A12559" w:rsidRPr="001A3018" w:rsidRDefault="00A12559" w:rsidP="006338AE">
            <w:pPr>
              <w:jc w:val="center"/>
              <w:rPr>
                <w:rFonts w:ascii="Arial" w:hAnsi="Arial" w:cs="Arial"/>
                <w:b/>
                <w:bCs/>
                <w:color w:val="524B48"/>
                <w:sz w:val="4"/>
                <w:szCs w:val="4"/>
              </w:rPr>
            </w:pPr>
          </w:p>
          <w:p w:rsidR="00A12559" w:rsidRDefault="00A12559" w:rsidP="006338AE">
            <w:pPr>
              <w:jc w:val="center"/>
              <w:rPr>
                <w:rStyle w:val="Hyperlink"/>
                <w:rFonts w:ascii="Arial" w:hAnsi="Arial" w:cs="Arial"/>
                <w:b/>
                <w:bCs/>
                <w:color w:val="524B48"/>
                <w:sz w:val="32"/>
                <w:szCs w:val="32"/>
                <w:u w:val="none"/>
              </w:rPr>
            </w:pPr>
            <w:r>
              <w:fldChar w:fldCharType="begin"/>
            </w:r>
            <w:r>
              <w:instrText>HYPERLINK "http://cpd.hk/evt000000115/"</w:instrText>
            </w:r>
            <w:r>
              <w:fldChar w:fldCharType="separate"/>
            </w:r>
            <w:r>
              <w:rPr>
                <w:rStyle w:val="Hyperlink"/>
                <w:rFonts w:ascii="Arial" w:hAnsi="Arial" w:cs="Arial"/>
                <w:b/>
                <w:bCs/>
                <w:color w:val="524B48"/>
                <w:sz w:val="32"/>
                <w:szCs w:val="32"/>
                <w:u w:val="none"/>
              </w:rPr>
              <w:t>Private</w:t>
            </w:r>
          </w:p>
          <w:p w:rsidR="00A12559" w:rsidRDefault="00A12559" w:rsidP="006338A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International Law</w:t>
            </w:r>
          </w:p>
          <w:p w:rsidR="00A12559" w:rsidRDefault="00A12559" w:rsidP="006338AE">
            <w:pPr>
              <w:jc w:val="center"/>
              <w:rPr>
                <w:rFonts w:ascii="Arial" w:hAnsi="Arial" w:cs="Arial"/>
                <w:b/>
                <w:bCs/>
                <w:color w:val="524B48"/>
                <w:sz w:val="32"/>
                <w:szCs w:val="32"/>
              </w:rPr>
            </w:pPr>
            <w:r>
              <w:rPr>
                <w:rStyle w:val="Hyperlink"/>
                <w:rFonts w:ascii="Arial" w:hAnsi="Arial" w:cs="Arial"/>
                <w:b/>
                <w:bCs/>
                <w:color w:val="524B48"/>
                <w:sz w:val="32"/>
                <w:szCs w:val="32"/>
                <w:u w:val="none"/>
              </w:rPr>
              <w:t>and Comity</w:t>
            </w:r>
            <w:r>
              <w:rPr>
                <w:rStyle w:val="Hyperlink"/>
                <w:rFonts w:ascii="Arial" w:hAnsi="Arial" w:cs="Arial"/>
                <w:b/>
                <w:bCs/>
                <w:color w:val="524B48"/>
                <w:sz w:val="32"/>
                <w:szCs w:val="32"/>
                <w:u w:val="none"/>
              </w:rPr>
              <w:fldChar w:fldCharType="end"/>
            </w:r>
          </w:p>
          <w:p w:rsidR="00A12559" w:rsidRPr="00C65AFD" w:rsidRDefault="00A12559" w:rsidP="006338AE">
            <w:pPr>
              <w:jc w:val="center"/>
              <w:rPr>
                <w:rFonts w:ascii="Arial" w:hAnsi="Arial" w:cs="Arial"/>
                <w:b/>
                <w:bCs/>
                <w:sz w:val="24"/>
                <w:szCs w:val="24"/>
              </w:rPr>
            </w:pPr>
          </w:p>
          <w:p w:rsidR="00A12559" w:rsidRPr="00C65AFD" w:rsidRDefault="00A12559" w:rsidP="006338AE">
            <w:pPr>
              <w:jc w:val="center"/>
              <w:rPr>
                <w:rFonts w:ascii="Arial" w:hAnsi="Arial" w:cs="Arial"/>
                <w:i/>
                <w:color w:val="6C6361"/>
                <w:sz w:val="24"/>
                <w:szCs w:val="24"/>
              </w:rPr>
            </w:pPr>
            <w:r w:rsidRPr="00C65AFD">
              <w:rPr>
                <w:rFonts w:ascii="Arial" w:hAnsi="Arial" w:cs="Arial"/>
                <w:i/>
                <w:color w:val="6C6361"/>
                <w:sz w:val="24"/>
                <w:szCs w:val="24"/>
              </w:rPr>
              <w:t>by</w:t>
            </w:r>
          </w:p>
          <w:p w:rsidR="00A12559" w:rsidRPr="00C65AFD" w:rsidRDefault="00A12559" w:rsidP="006338AE">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Clemence</w:t>
              </w:r>
              <w:proofErr w:type="spellEnd"/>
              <w:r>
                <w:rPr>
                  <w:rStyle w:val="Hyperlink"/>
                  <w:rFonts w:ascii="Arial" w:hAnsi="Arial" w:cs="Arial"/>
                  <w:color w:val="6C6361"/>
                  <w:sz w:val="24"/>
                  <w:szCs w:val="24"/>
                  <w:u w:val="none"/>
                </w:rPr>
                <w:t xml:space="preserve"> Yeung</w:t>
              </w:r>
            </w:hyperlink>
            <w:r w:rsidRPr="00C65AFD">
              <w:rPr>
                <w:rFonts w:ascii="Arial" w:hAnsi="Arial" w:cs="Arial"/>
                <w:color w:val="524B48"/>
                <w:sz w:val="24"/>
                <w:szCs w:val="24"/>
              </w:rPr>
              <w:t>,</w:t>
            </w:r>
          </w:p>
          <w:p w:rsidR="00A12559" w:rsidRPr="00AD645C" w:rsidRDefault="00A12559" w:rsidP="006338AE">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rsidR="00A12559" w:rsidRPr="00D50772" w:rsidRDefault="00A12559" w:rsidP="006338AE">
            <w:pPr>
              <w:spacing w:line="276" w:lineRule="auto"/>
              <w:jc w:val="center"/>
              <w:rPr>
                <w:rFonts w:ascii="Arial" w:eastAsia="Times New Roman" w:hAnsi="Arial" w:cs="Arial"/>
                <w:noProof/>
                <w:sz w:val="20"/>
                <w:szCs w:val="20"/>
              </w:rPr>
            </w:pPr>
            <w:r w:rsidRPr="00FC08BF">
              <w:rPr>
                <w:rFonts w:ascii="Arial" w:hAnsi="Arial" w:cs="Arial"/>
                <w:noProof/>
                <w:color w:val="6C6361"/>
              </w:rPr>
              <w:drawing>
                <wp:anchor distT="0" distB="0" distL="114300" distR="114300" simplePos="0" relativeHeight="251660288" behindDoc="0" locked="0" layoutInCell="1" allowOverlap="1" wp14:anchorId="2DF32730" wp14:editId="64332198">
                  <wp:simplePos x="0" y="0"/>
                  <wp:positionH relativeFrom="column">
                    <wp:posOffset>3171190</wp:posOffset>
                  </wp:positionH>
                  <wp:positionV relativeFrom="paragraph">
                    <wp:posOffset>-52705</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89CB729" wp14:editId="4F2B6BC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12559" w:rsidRPr="00362199" w:rsidRDefault="00A12559" w:rsidP="00A1255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12559" w:rsidRPr="00895F3B" w:rsidTr="006338AE">
        <w:trPr>
          <w:trHeight w:val="2571"/>
          <w:jc w:val="center"/>
        </w:trPr>
        <w:tc>
          <w:tcPr>
            <w:tcW w:w="1985" w:type="dxa"/>
            <w:shd w:val="clear" w:color="auto" w:fill="FFFFFF"/>
            <w:vAlign w:val="center"/>
          </w:tcPr>
          <w:p w:rsidR="00A12559" w:rsidRPr="00895F3B" w:rsidRDefault="00A12559" w:rsidP="006338AE">
            <w:pPr>
              <w:spacing w:line="276" w:lineRule="auto"/>
              <w:jc w:val="center"/>
              <w:rPr>
                <w:rFonts w:ascii="Arial" w:hAnsi="Arial" w:cs="Arial"/>
                <w:sz w:val="21"/>
                <w:szCs w:val="21"/>
              </w:rPr>
            </w:pPr>
            <w:r>
              <w:rPr>
                <w:rFonts w:ascii="Arial" w:hAnsi="Arial" w:cs="Arial"/>
                <w:noProof/>
                <w:sz w:val="21"/>
                <w:szCs w:val="21"/>
              </w:rPr>
              <w:drawing>
                <wp:inline distT="0" distB="0" distL="0" distR="0" wp14:anchorId="4FD34B06" wp14:editId="77F1FDD1">
                  <wp:extent cx="1080135" cy="1440180"/>
                  <wp:effectExtent l="0" t="0" r="5715" b="7620"/>
                  <wp:docPr id="3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12559" w:rsidRPr="005B38D5" w:rsidRDefault="00A12559" w:rsidP="006338AE">
            <w:pPr>
              <w:pStyle w:val="NormalWeb"/>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w:t>
            </w:r>
            <w:proofErr w:type="spellStart"/>
            <w:r>
              <w:rPr>
                <w:rFonts w:ascii="Arial" w:hAnsi="Arial" w:cs="Arial"/>
                <w:color w:val="6C6361"/>
              </w:rPr>
              <w:t>practised</w:t>
            </w:r>
            <w:proofErr w:type="spellEnd"/>
            <w:r>
              <w:rPr>
                <w:rFonts w:ascii="Arial" w:hAnsi="Arial" w:cs="Arial"/>
                <w:color w:val="6C6361"/>
              </w:rPr>
              <w:t xml:space="preserve">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w:t>
            </w:r>
            <w:proofErr w:type="spellStart"/>
            <w:r w:rsidRPr="00E82C38">
              <w:rPr>
                <w:rFonts w:ascii="Arial" w:hAnsi="Arial" w:cs="Arial"/>
                <w:color w:val="6C6361"/>
              </w:rPr>
              <w:t>Halsbury's</w:t>
            </w:r>
            <w:proofErr w:type="spellEnd"/>
            <w:r w:rsidRPr="00E82C38">
              <w:rPr>
                <w:rFonts w:ascii="Arial" w:hAnsi="Arial" w:cs="Arial"/>
                <w:color w:val="6C6361"/>
              </w:rPr>
              <w:t xml:space="preserve"> Laws of Hong Kong Volume 18(1) </w:t>
            </w:r>
            <w:r>
              <w:rPr>
                <w:rFonts w:ascii="Arial" w:hAnsi="Arial" w:cs="Arial"/>
                <w:color w:val="6C6361"/>
              </w:rPr>
              <w:t>Maritime Law (</w:t>
            </w:r>
            <w:proofErr w:type="spellStart"/>
            <w:r>
              <w:rPr>
                <w:rFonts w:ascii="Arial" w:hAnsi="Arial" w:cs="Arial"/>
                <w:color w:val="6C6361"/>
              </w:rPr>
              <w:t>Butterworths</w:t>
            </w:r>
            <w:proofErr w:type="spellEnd"/>
            <w:r>
              <w:rPr>
                <w:rFonts w:ascii="Arial" w:hAnsi="Arial" w:cs="Arial"/>
                <w:color w:val="6C6361"/>
              </w:rPr>
              <w:t xml:space="preserve">)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rsidR="00A12559" w:rsidRPr="00362199" w:rsidRDefault="00A12559" w:rsidP="00A1255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A12559" w:rsidRPr="00D75B64" w:rsidTr="006338AE">
        <w:trPr>
          <w:trHeight w:val="6098"/>
          <w:jc w:val="center"/>
        </w:trPr>
        <w:tc>
          <w:tcPr>
            <w:tcW w:w="10773" w:type="dxa"/>
            <w:tcBorders>
              <w:bottom w:val="nil"/>
            </w:tcBorders>
            <w:shd w:val="clear" w:color="auto" w:fill="FFFFFF" w:themeFill="background1"/>
            <w:vAlign w:val="center"/>
          </w:tcPr>
          <w:p w:rsidR="00A12559" w:rsidRPr="00D75B64" w:rsidRDefault="00A12559" w:rsidP="006338AE">
            <w:pPr>
              <w:spacing w:line="276" w:lineRule="auto"/>
              <w:rPr>
                <w:rFonts w:ascii="Arial" w:hAnsi="Arial" w:cs="Arial"/>
                <w:color w:val="6C6361"/>
                <w:sz w:val="24"/>
                <w:szCs w:val="24"/>
              </w:rPr>
            </w:pPr>
            <w:r w:rsidRPr="00D75B64">
              <w:rPr>
                <w:rFonts w:ascii="Arial" w:hAnsi="Arial" w:cs="Arial"/>
                <w:color w:val="6C6361"/>
                <w:sz w:val="24"/>
                <w:szCs w:val="24"/>
              </w:rPr>
              <w:t>Hong Kong being a maritime city and, since the last 25 years or about, a financial hub in Asia, cross-border disputes are a norm in her courts.  The international dimensions have called on the Hong Kong Courts to consider a wider range of questions specific to transnational litigations.  Should a party be restrained from pursuing an overseas legal action? Should foreign orders and judgments be given effect? Should the Courts act in aid of foreign proceedings? In judicial considerations of these and similar questions stemming from a wide spectrum of cross-border disputes, references to comity abound.</w:t>
            </w:r>
          </w:p>
          <w:p w:rsidR="00A12559" w:rsidRPr="00D75B64" w:rsidRDefault="00A12559" w:rsidP="006338AE">
            <w:pPr>
              <w:spacing w:line="276" w:lineRule="auto"/>
              <w:rPr>
                <w:rFonts w:ascii="Arial" w:hAnsi="Arial" w:cs="Arial"/>
                <w:color w:val="6C6361"/>
                <w:sz w:val="24"/>
                <w:szCs w:val="24"/>
              </w:rPr>
            </w:pPr>
          </w:p>
          <w:p w:rsidR="00A12559" w:rsidRPr="00D75B64" w:rsidRDefault="00A12559" w:rsidP="006338AE">
            <w:pPr>
              <w:spacing w:line="276" w:lineRule="auto"/>
              <w:rPr>
                <w:rFonts w:ascii="Arial" w:hAnsi="Arial" w:cs="Arial"/>
                <w:color w:val="6C6361"/>
                <w:sz w:val="24"/>
                <w:szCs w:val="24"/>
              </w:rPr>
            </w:pPr>
            <w:r w:rsidRPr="00D75B64">
              <w:rPr>
                <w:rFonts w:ascii="Arial" w:hAnsi="Arial" w:cs="Arial"/>
                <w:color w:val="6C6361"/>
                <w:sz w:val="24"/>
                <w:szCs w:val="24"/>
              </w:rPr>
              <w:t>But what does the concept mean? Writing extra-judicially, Lawrence Collins J (as he then was) considered the employment of the concept of comity in the English and American case law and called for further efforts to be made to obtain a better understanding of the subject - “the vast amount of material cries out for some synthesis.” (Lawrence Collins, “Comity in Modern Private International Law” in Fawcett J.J. (ed.), Reform and Development of Private International Law (Oxford University Press, 2002), p.110)</w:t>
            </w:r>
          </w:p>
          <w:p w:rsidR="00A12559" w:rsidRPr="00D75B64" w:rsidRDefault="00A12559" w:rsidP="006338AE">
            <w:pPr>
              <w:spacing w:line="276" w:lineRule="auto"/>
              <w:rPr>
                <w:rFonts w:ascii="Arial" w:hAnsi="Arial" w:cs="Arial"/>
                <w:color w:val="6C6361"/>
                <w:sz w:val="24"/>
                <w:szCs w:val="24"/>
              </w:rPr>
            </w:pPr>
          </w:p>
          <w:p w:rsidR="00A12559" w:rsidRPr="00D75B64" w:rsidRDefault="00A12559" w:rsidP="006338AE">
            <w:pPr>
              <w:spacing w:line="276" w:lineRule="auto"/>
              <w:rPr>
                <w:rFonts w:ascii="Arial" w:hAnsi="Arial" w:cs="Arial"/>
                <w:color w:val="6C6361"/>
                <w:sz w:val="24"/>
                <w:szCs w:val="24"/>
              </w:rPr>
            </w:pPr>
            <w:r w:rsidRPr="00D75B64">
              <w:rPr>
                <w:rFonts w:ascii="Arial" w:hAnsi="Arial" w:cs="Arial"/>
                <w:color w:val="6C6361"/>
                <w:sz w:val="24"/>
                <w:szCs w:val="24"/>
              </w:rPr>
              <w:t>The present Course looks at Hong Kong cases (and some of the leading English cases) in which the concept of comity has been invoked, and explores what the concept entails and how it informs judicial determinations in commercial litigations.</w:t>
            </w:r>
          </w:p>
        </w:tc>
      </w:tr>
    </w:tbl>
    <w:p w:rsidR="00A12559" w:rsidRDefault="00A12559" w:rsidP="00A12559">
      <w:pPr>
        <w:spacing w:line="276" w:lineRule="auto"/>
        <w:rPr>
          <w:rFonts w:ascii="Arial" w:hAnsi="Arial" w:cs="Arial"/>
          <w:sz w:val="20"/>
          <w:szCs w:val="20"/>
        </w:rPr>
      </w:pPr>
    </w:p>
    <w:p w:rsidR="00A12559" w:rsidRDefault="00A12559" w:rsidP="00A12559">
      <w:pPr>
        <w:spacing w:line="276" w:lineRule="auto"/>
        <w:rPr>
          <w:rFonts w:ascii="Arial" w:hAnsi="Arial" w:cs="Arial"/>
          <w:sz w:val="20"/>
          <w:szCs w:val="20"/>
        </w:rPr>
      </w:pPr>
    </w:p>
    <w:p w:rsidR="00A12559" w:rsidRDefault="00A12559" w:rsidP="00A12559">
      <w:pPr>
        <w:spacing w:line="276" w:lineRule="auto"/>
        <w:rPr>
          <w:rFonts w:ascii="Arial" w:hAnsi="Arial" w:cs="Arial"/>
          <w:sz w:val="20"/>
          <w:szCs w:val="20"/>
        </w:rPr>
      </w:pPr>
    </w:p>
    <w:p w:rsidR="00A12559" w:rsidRDefault="00A12559" w:rsidP="00A12559">
      <w:pPr>
        <w:spacing w:line="276" w:lineRule="auto"/>
        <w:rPr>
          <w:rFonts w:ascii="Arial" w:hAnsi="Arial" w:cs="Arial"/>
          <w:sz w:val="20"/>
          <w:szCs w:val="20"/>
        </w:rPr>
      </w:pPr>
    </w:p>
    <w:p w:rsidR="00A12559" w:rsidRDefault="00A12559" w:rsidP="00A12559">
      <w:pPr>
        <w:spacing w:line="276" w:lineRule="auto"/>
        <w:rPr>
          <w:rFonts w:ascii="Arial" w:hAnsi="Arial" w:cs="Arial"/>
          <w:sz w:val="20"/>
          <w:szCs w:val="20"/>
        </w:rPr>
      </w:pPr>
    </w:p>
    <w:p w:rsidR="00A12559" w:rsidRDefault="00A12559" w:rsidP="00A12559">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A12559" w:rsidRPr="00EF7BBF" w:rsidTr="006338AE">
        <w:trPr>
          <w:trHeight w:val="454"/>
          <w:jc w:val="center"/>
        </w:trPr>
        <w:tc>
          <w:tcPr>
            <w:tcW w:w="10773" w:type="dxa"/>
            <w:tcBorders>
              <w:top w:val="nil"/>
            </w:tcBorders>
            <w:shd w:val="clear" w:color="auto" w:fill="F0EBE1"/>
            <w:vAlign w:val="center"/>
          </w:tcPr>
          <w:p w:rsidR="00A12559" w:rsidRPr="00EF7BBF" w:rsidRDefault="00A12559" w:rsidP="006338AE">
            <w:pPr>
              <w:spacing w:line="276" w:lineRule="auto"/>
              <w:rPr>
                <w:rFonts w:ascii="Arial" w:eastAsia="Times New Roman" w:hAnsi="Arial" w:cs="Arial"/>
                <w:b/>
                <w:color w:val="524B48"/>
                <w:sz w:val="24"/>
                <w:szCs w:val="24"/>
              </w:rPr>
            </w:pPr>
            <w:r w:rsidRPr="00EF7BBF">
              <w:rPr>
                <w:rFonts w:ascii="Arial" w:eastAsia="Times New Roman" w:hAnsi="Arial" w:cs="Arial"/>
                <w:b/>
                <w:color w:val="524B48"/>
                <w:sz w:val="24"/>
                <w:szCs w:val="24"/>
              </w:rPr>
              <w:lastRenderedPageBreak/>
              <w:t>The cases in question cover the following areas:</w:t>
            </w:r>
          </w:p>
        </w:tc>
      </w:tr>
      <w:tr w:rsidR="00A12559" w:rsidRPr="00EF7BBF" w:rsidTr="006338AE">
        <w:trPr>
          <w:trHeight w:val="2812"/>
          <w:jc w:val="center"/>
        </w:trPr>
        <w:tc>
          <w:tcPr>
            <w:tcW w:w="10773" w:type="dxa"/>
            <w:shd w:val="clear" w:color="auto" w:fill="FFFFFF"/>
            <w:vAlign w:val="center"/>
          </w:tcPr>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Cross-border insolvency</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 xml:space="preserve">Winding up of foreign companies </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 xml:space="preserve">Forum non </w:t>
            </w:r>
            <w:proofErr w:type="spellStart"/>
            <w:r w:rsidRPr="00EF7BBF">
              <w:rPr>
                <w:rFonts w:ascii="Arial" w:hAnsi="Arial" w:cs="Arial"/>
                <w:color w:val="6C6361"/>
                <w:sz w:val="24"/>
                <w:szCs w:val="24"/>
              </w:rPr>
              <w:t>conveniens</w:t>
            </w:r>
            <w:proofErr w:type="spellEnd"/>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Anti-suit injunction</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Judicial assistance to foreign proceedings</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 xml:space="preserve">Letter of request </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Service of proceedings out of the jurisdictions</w:t>
            </w:r>
          </w:p>
          <w:p w:rsidR="00A12559" w:rsidRPr="00EF7BBF" w:rsidRDefault="00A12559" w:rsidP="006338AE">
            <w:pPr>
              <w:pStyle w:val="ListParagraph"/>
              <w:numPr>
                <w:ilvl w:val="0"/>
                <w:numId w:val="1"/>
              </w:numPr>
              <w:spacing w:line="276" w:lineRule="auto"/>
              <w:rPr>
                <w:rFonts w:ascii="Arial" w:hAnsi="Arial" w:cs="Arial"/>
                <w:color w:val="6C6361"/>
                <w:sz w:val="24"/>
                <w:szCs w:val="24"/>
              </w:rPr>
            </w:pPr>
            <w:r w:rsidRPr="00EF7BBF">
              <w:rPr>
                <w:rFonts w:ascii="Arial" w:hAnsi="Arial" w:cs="Arial"/>
                <w:color w:val="6C6361"/>
                <w:sz w:val="24"/>
                <w:szCs w:val="24"/>
              </w:rPr>
              <w:t>Enforcement of arbitral awards</w:t>
            </w:r>
          </w:p>
        </w:tc>
      </w:tr>
      <w:tr w:rsidR="00A12559" w:rsidRPr="00EF7BBF" w:rsidTr="006338AE">
        <w:trPr>
          <w:trHeight w:val="57"/>
          <w:jc w:val="center"/>
        </w:trPr>
        <w:tc>
          <w:tcPr>
            <w:tcW w:w="10773" w:type="dxa"/>
            <w:tcBorders>
              <w:top w:val="nil"/>
              <w:bottom w:val="nil"/>
            </w:tcBorders>
            <w:shd w:val="clear" w:color="auto" w:fill="F0EBE1"/>
            <w:vAlign w:val="center"/>
          </w:tcPr>
          <w:p w:rsidR="00A12559" w:rsidRPr="00EF7BBF" w:rsidRDefault="00A12559" w:rsidP="006338AE">
            <w:pPr>
              <w:spacing w:line="276" w:lineRule="auto"/>
              <w:rPr>
                <w:rFonts w:ascii="Arial" w:hAnsi="Arial" w:cs="Arial"/>
                <w:b/>
                <w:color w:val="524B48"/>
                <w:sz w:val="2"/>
                <w:szCs w:val="24"/>
              </w:rPr>
            </w:pPr>
          </w:p>
        </w:tc>
      </w:tr>
      <w:tr w:rsidR="00A12559" w:rsidRPr="00EF7BBF" w:rsidTr="006338AE">
        <w:trPr>
          <w:trHeight w:val="1918"/>
          <w:jc w:val="center"/>
        </w:trPr>
        <w:tc>
          <w:tcPr>
            <w:tcW w:w="10773" w:type="dxa"/>
            <w:tcBorders>
              <w:top w:val="nil"/>
              <w:bottom w:val="nil"/>
            </w:tcBorders>
            <w:shd w:val="clear" w:color="auto" w:fill="FFFFFF" w:themeFill="background1"/>
            <w:vAlign w:val="center"/>
          </w:tcPr>
          <w:p w:rsidR="00A12559" w:rsidRPr="00EF7BBF" w:rsidRDefault="00A12559" w:rsidP="006338AE">
            <w:pPr>
              <w:spacing w:line="276" w:lineRule="auto"/>
              <w:rPr>
                <w:rFonts w:ascii="Arial" w:hAnsi="Arial" w:cs="Arial"/>
                <w:color w:val="524B48"/>
                <w:sz w:val="24"/>
                <w:szCs w:val="24"/>
              </w:rPr>
            </w:pPr>
            <w:r w:rsidRPr="00EF7BBF">
              <w:rPr>
                <w:rFonts w:ascii="Arial" w:hAnsi="Arial" w:cs="Arial"/>
                <w:color w:val="524B48"/>
                <w:sz w:val="24"/>
                <w:szCs w:val="24"/>
              </w:rPr>
              <w:t xml:space="preserve">The speaker will in particular trace the historical development of the concept of forum non </w:t>
            </w:r>
            <w:proofErr w:type="spellStart"/>
            <w:r w:rsidRPr="00EF7BBF">
              <w:rPr>
                <w:rFonts w:ascii="Arial" w:hAnsi="Arial" w:cs="Arial"/>
                <w:color w:val="524B48"/>
                <w:sz w:val="24"/>
                <w:szCs w:val="24"/>
              </w:rPr>
              <w:t>conveniens</w:t>
            </w:r>
            <w:proofErr w:type="spellEnd"/>
            <w:r w:rsidRPr="00EF7BBF">
              <w:rPr>
                <w:rFonts w:ascii="Arial" w:hAnsi="Arial" w:cs="Arial"/>
                <w:color w:val="524B48"/>
                <w:sz w:val="24"/>
                <w:szCs w:val="24"/>
              </w:rPr>
              <w:t xml:space="preserve"> and the anti-suit injunction in the English law case, two areas where the influence of considerations of comity has been especially prominent.</w:t>
            </w:r>
          </w:p>
          <w:p w:rsidR="00A12559" w:rsidRPr="00EF7BBF" w:rsidRDefault="00A12559" w:rsidP="006338AE">
            <w:pPr>
              <w:spacing w:line="276" w:lineRule="auto"/>
              <w:rPr>
                <w:rFonts w:ascii="Arial" w:hAnsi="Arial" w:cs="Arial"/>
                <w:color w:val="524B48"/>
                <w:sz w:val="24"/>
                <w:szCs w:val="24"/>
              </w:rPr>
            </w:pPr>
          </w:p>
          <w:p w:rsidR="00A12559" w:rsidRPr="00EF7BBF" w:rsidRDefault="00A12559" w:rsidP="006338AE">
            <w:pPr>
              <w:spacing w:line="276" w:lineRule="auto"/>
              <w:rPr>
                <w:rFonts w:ascii="Arial" w:hAnsi="Arial" w:cs="Arial"/>
                <w:color w:val="524B48"/>
                <w:sz w:val="24"/>
                <w:szCs w:val="24"/>
              </w:rPr>
            </w:pPr>
            <w:r w:rsidRPr="00EF7BBF">
              <w:rPr>
                <w:rFonts w:ascii="Arial" w:hAnsi="Arial" w:cs="Arial"/>
                <w:color w:val="524B48"/>
                <w:sz w:val="24"/>
                <w:szCs w:val="24"/>
              </w:rPr>
              <w:t>The Course will also provide an essential update on recent developments on the above areas.</w:t>
            </w:r>
          </w:p>
        </w:tc>
      </w:tr>
      <w:tr w:rsidR="00A12559" w:rsidRPr="00EF7BBF" w:rsidTr="006338AE">
        <w:trPr>
          <w:trHeight w:val="454"/>
          <w:jc w:val="center"/>
        </w:trPr>
        <w:tc>
          <w:tcPr>
            <w:tcW w:w="10773" w:type="dxa"/>
            <w:tcBorders>
              <w:top w:val="nil"/>
              <w:bottom w:val="nil"/>
            </w:tcBorders>
            <w:shd w:val="clear" w:color="auto" w:fill="F0EBE1"/>
            <w:vAlign w:val="center"/>
          </w:tcPr>
          <w:p w:rsidR="00A12559" w:rsidRPr="00EF7BBF" w:rsidRDefault="00A12559" w:rsidP="006338AE">
            <w:pPr>
              <w:spacing w:line="276" w:lineRule="auto"/>
              <w:rPr>
                <w:rFonts w:ascii="Arial" w:hAnsi="Arial" w:cs="Arial"/>
                <w:b/>
                <w:color w:val="524B48"/>
                <w:sz w:val="24"/>
                <w:szCs w:val="24"/>
              </w:rPr>
            </w:pPr>
            <w:r w:rsidRPr="00EF7BBF">
              <w:rPr>
                <w:rFonts w:ascii="Arial" w:hAnsi="Arial" w:cs="Arial"/>
                <w:b/>
                <w:color w:val="524B48"/>
                <w:sz w:val="24"/>
                <w:szCs w:val="24"/>
              </w:rPr>
              <w:t>Some of the more recent cases considered will include:</w:t>
            </w:r>
          </w:p>
        </w:tc>
      </w:tr>
      <w:tr w:rsidR="00A12559" w:rsidRPr="00EF7BBF" w:rsidTr="006338AE">
        <w:trPr>
          <w:trHeight w:val="3228"/>
          <w:jc w:val="center"/>
        </w:trPr>
        <w:tc>
          <w:tcPr>
            <w:tcW w:w="10773" w:type="dxa"/>
            <w:tcBorders>
              <w:top w:val="nil"/>
              <w:bottom w:val="nil"/>
            </w:tcBorders>
            <w:shd w:val="clear" w:color="auto" w:fill="FFFFFF" w:themeFill="background1"/>
            <w:vAlign w:val="center"/>
          </w:tcPr>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proofErr w:type="spellStart"/>
            <w:r w:rsidRPr="00EF7BBF">
              <w:rPr>
                <w:rFonts w:ascii="Arial" w:hAnsi="Arial" w:cs="Arial"/>
                <w:color w:val="6C6361"/>
                <w:sz w:val="24"/>
                <w:szCs w:val="24"/>
              </w:rPr>
              <w:t>Singularis</w:t>
            </w:r>
            <w:proofErr w:type="spellEnd"/>
            <w:r w:rsidRPr="00EF7BBF">
              <w:rPr>
                <w:rFonts w:ascii="Arial" w:hAnsi="Arial" w:cs="Arial"/>
                <w:color w:val="6C6361"/>
                <w:sz w:val="24"/>
                <w:szCs w:val="24"/>
              </w:rPr>
              <w:t xml:space="preserve"> Holdings Ltd v PricewaterhouseCoopers [2015] 2 WLR 971</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proofErr w:type="spellStart"/>
            <w:r w:rsidRPr="00EF7BBF">
              <w:rPr>
                <w:rFonts w:ascii="Arial" w:hAnsi="Arial" w:cs="Arial"/>
                <w:color w:val="6C6361"/>
                <w:sz w:val="24"/>
                <w:szCs w:val="24"/>
              </w:rPr>
              <w:t>Stichting</w:t>
            </w:r>
            <w:proofErr w:type="spellEnd"/>
            <w:r w:rsidRPr="00EF7BBF">
              <w:rPr>
                <w:rFonts w:ascii="Arial" w:hAnsi="Arial" w:cs="Arial"/>
                <w:color w:val="6C6361"/>
                <w:sz w:val="24"/>
                <w:szCs w:val="24"/>
              </w:rPr>
              <w:t xml:space="preserve"> Shell </w:t>
            </w:r>
            <w:proofErr w:type="spellStart"/>
            <w:r w:rsidRPr="00EF7BBF">
              <w:rPr>
                <w:rFonts w:ascii="Arial" w:hAnsi="Arial" w:cs="Arial"/>
                <w:color w:val="6C6361"/>
                <w:sz w:val="24"/>
                <w:szCs w:val="24"/>
              </w:rPr>
              <w:t>Pensioenfonds</w:t>
            </w:r>
            <w:proofErr w:type="spellEnd"/>
            <w:r w:rsidRPr="00EF7BBF">
              <w:rPr>
                <w:rFonts w:ascii="Arial" w:hAnsi="Arial" w:cs="Arial"/>
                <w:color w:val="6C6361"/>
                <w:sz w:val="24"/>
                <w:szCs w:val="24"/>
              </w:rPr>
              <w:t xml:space="preserve"> v </w:t>
            </w:r>
            <w:proofErr w:type="spellStart"/>
            <w:r w:rsidRPr="00EF7BBF">
              <w:rPr>
                <w:rFonts w:ascii="Arial" w:hAnsi="Arial" w:cs="Arial"/>
                <w:color w:val="6C6361"/>
                <w:sz w:val="24"/>
                <w:szCs w:val="24"/>
              </w:rPr>
              <w:t>Krys</w:t>
            </w:r>
            <w:proofErr w:type="spellEnd"/>
            <w:r w:rsidRPr="00EF7BBF">
              <w:rPr>
                <w:rFonts w:ascii="Arial" w:hAnsi="Arial" w:cs="Arial"/>
                <w:color w:val="6C6361"/>
                <w:sz w:val="24"/>
                <w:szCs w:val="24"/>
              </w:rPr>
              <w:t xml:space="preserve"> [2015] BCC 205</w:t>
            </w:r>
          </w:p>
          <w:p w:rsidR="00A12559" w:rsidRPr="00F41E3F" w:rsidRDefault="00A12559" w:rsidP="006338AE">
            <w:pPr>
              <w:pStyle w:val="ListParagraph"/>
              <w:numPr>
                <w:ilvl w:val="0"/>
                <w:numId w:val="1"/>
              </w:numPr>
              <w:spacing w:line="276" w:lineRule="auto"/>
              <w:jc w:val="left"/>
              <w:rPr>
                <w:rFonts w:ascii="Arial" w:hAnsi="Arial" w:cs="Arial"/>
                <w:color w:val="6C6361"/>
                <w:sz w:val="24"/>
                <w:szCs w:val="24"/>
              </w:rPr>
            </w:pPr>
            <w:r w:rsidRPr="00EF7BBF">
              <w:rPr>
                <w:rFonts w:ascii="Arial" w:hAnsi="Arial" w:cs="Arial"/>
                <w:color w:val="6C6361"/>
                <w:sz w:val="24"/>
                <w:szCs w:val="24"/>
              </w:rPr>
              <w:t xml:space="preserve">Re Estate of </w:t>
            </w:r>
            <w:proofErr w:type="spellStart"/>
            <w:r w:rsidRPr="00EF7BBF">
              <w:rPr>
                <w:rFonts w:ascii="Arial" w:hAnsi="Arial" w:cs="Arial"/>
                <w:color w:val="6C6361"/>
                <w:sz w:val="24"/>
                <w:szCs w:val="24"/>
              </w:rPr>
              <w:t>Kam</w:t>
            </w:r>
            <w:proofErr w:type="spellEnd"/>
            <w:r w:rsidRPr="00EF7BBF">
              <w:rPr>
                <w:rFonts w:ascii="Arial" w:hAnsi="Arial" w:cs="Arial"/>
                <w:color w:val="6C6361"/>
                <w:sz w:val="24"/>
                <w:szCs w:val="24"/>
              </w:rPr>
              <w:t xml:space="preserve"> Kwan Sing [2015] HKEC 2370</w:t>
            </w:r>
            <w:r>
              <w:rPr>
                <w:rFonts w:ascii="Arial" w:hAnsi="Arial" w:cs="Arial"/>
                <w:color w:val="6C6361"/>
                <w:sz w:val="24"/>
                <w:szCs w:val="24"/>
              </w:rPr>
              <w:t xml:space="preserve"> “</w:t>
            </w:r>
            <w:r w:rsidRPr="00F41E3F">
              <w:rPr>
                <w:rFonts w:ascii="Arial" w:hAnsi="Arial" w:cs="Arial"/>
                <w:color w:val="6C6361"/>
                <w:sz w:val="24"/>
                <w:szCs w:val="24"/>
              </w:rPr>
              <w:t>the</w:t>
            </w:r>
            <w:r>
              <w:rPr>
                <w:rFonts w:ascii="Arial" w:hAnsi="Arial" w:cs="Arial"/>
                <w:color w:val="6C6361"/>
                <w:sz w:val="24"/>
                <w:szCs w:val="24"/>
              </w:rPr>
              <w:t xml:space="preserve"> Yung </w:t>
            </w:r>
            <w:proofErr w:type="spellStart"/>
            <w:r>
              <w:rPr>
                <w:rFonts w:ascii="Arial" w:hAnsi="Arial" w:cs="Arial"/>
                <w:color w:val="6C6361"/>
                <w:sz w:val="24"/>
                <w:szCs w:val="24"/>
              </w:rPr>
              <w:t>Kee</w:t>
            </w:r>
            <w:proofErr w:type="spellEnd"/>
            <w:r>
              <w:rPr>
                <w:rFonts w:ascii="Arial" w:hAnsi="Arial" w:cs="Arial"/>
                <w:color w:val="6C6361"/>
                <w:sz w:val="24"/>
                <w:szCs w:val="24"/>
              </w:rPr>
              <w:t xml:space="preserve"> decisions”</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r w:rsidRPr="0013101B">
              <w:rPr>
                <w:rFonts w:ascii="Arial" w:hAnsi="Arial" w:cs="Arial"/>
                <w:noProof/>
                <w:color w:val="6C6361"/>
                <w:sz w:val="24"/>
                <w:szCs w:val="24"/>
              </w:rPr>
              <w:drawing>
                <wp:anchor distT="0" distB="0" distL="114300" distR="114300" simplePos="0" relativeHeight="251659264" behindDoc="1" locked="0" layoutInCell="1" allowOverlap="1" wp14:anchorId="19A3368F" wp14:editId="2570DAB3">
                  <wp:simplePos x="0" y="0"/>
                  <wp:positionH relativeFrom="column">
                    <wp:posOffset>5762625</wp:posOffset>
                  </wp:positionH>
                  <wp:positionV relativeFrom="paragraph">
                    <wp:posOffset>173355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BBF">
              <w:rPr>
                <w:rFonts w:ascii="Arial" w:hAnsi="Arial" w:cs="Arial"/>
                <w:color w:val="6C6361"/>
                <w:sz w:val="24"/>
                <w:szCs w:val="24"/>
              </w:rPr>
              <w:t xml:space="preserve">Rubin and another v </w:t>
            </w:r>
            <w:proofErr w:type="spellStart"/>
            <w:r w:rsidRPr="00EF7BBF">
              <w:rPr>
                <w:rFonts w:ascii="Arial" w:hAnsi="Arial" w:cs="Arial"/>
                <w:color w:val="6C6361"/>
                <w:sz w:val="24"/>
                <w:szCs w:val="24"/>
              </w:rPr>
              <w:t>Eurofinace</w:t>
            </w:r>
            <w:proofErr w:type="spellEnd"/>
            <w:r w:rsidRPr="00EF7BBF">
              <w:rPr>
                <w:rFonts w:ascii="Arial" w:hAnsi="Arial" w:cs="Arial"/>
                <w:color w:val="6C6361"/>
                <w:sz w:val="24"/>
                <w:szCs w:val="24"/>
              </w:rPr>
              <w:t xml:space="preserve"> SA [2013] 1 AC 236</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r w:rsidRPr="00EF7BBF">
              <w:rPr>
                <w:rFonts w:ascii="Arial" w:hAnsi="Arial" w:cs="Arial"/>
                <w:color w:val="6C6361"/>
                <w:sz w:val="24"/>
                <w:szCs w:val="24"/>
              </w:rPr>
              <w:t xml:space="preserve">Star Reefers Pool </w:t>
            </w:r>
            <w:proofErr w:type="spellStart"/>
            <w:r w:rsidRPr="00EF7BBF">
              <w:rPr>
                <w:rFonts w:ascii="Arial" w:hAnsi="Arial" w:cs="Arial"/>
                <w:color w:val="6C6361"/>
                <w:sz w:val="24"/>
                <w:szCs w:val="24"/>
              </w:rPr>
              <w:t>Inc</w:t>
            </w:r>
            <w:proofErr w:type="spellEnd"/>
            <w:r w:rsidRPr="00EF7BBF">
              <w:rPr>
                <w:rFonts w:ascii="Arial" w:hAnsi="Arial" w:cs="Arial"/>
                <w:color w:val="6C6361"/>
                <w:sz w:val="24"/>
                <w:szCs w:val="24"/>
              </w:rPr>
              <w:t xml:space="preserve"> v JKC Group Co Ltd [2013] 1 CLC 294</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proofErr w:type="spellStart"/>
            <w:r w:rsidRPr="00EF7BBF">
              <w:rPr>
                <w:rFonts w:ascii="Arial" w:hAnsi="Arial" w:cs="Arial"/>
                <w:color w:val="6C6361"/>
                <w:sz w:val="24"/>
                <w:szCs w:val="24"/>
              </w:rPr>
              <w:t>Compania</w:t>
            </w:r>
            <w:proofErr w:type="spellEnd"/>
            <w:r w:rsidRPr="00EF7BBF">
              <w:rPr>
                <w:rFonts w:ascii="Arial" w:hAnsi="Arial" w:cs="Arial"/>
                <w:color w:val="6C6361"/>
                <w:sz w:val="24"/>
                <w:szCs w:val="24"/>
              </w:rPr>
              <w:t xml:space="preserve"> </w:t>
            </w:r>
            <w:proofErr w:type="spellStart"/>
            <w:r w:rsidRPr="00EF7BBF">
              <w:rPr>
                <w:rFonts w:ascii="Arial" w:hAnsi="Arial" w:cs="Arial"/>
                <w:color w:val="6C6361"/>
                <w:sz w:val="24"/>
                <w:szCs w:val="24"/>
              </w:rPr>
              <w:t>Sud</w:t>
            </w:r>
            <w:proofErr w:type="spellEnd"/>
            <w:r w:rsidRPr="00EF7BBF">
              <w:rPr>
                <w:rFonts w:ascii="Arial" w:hAnsi="Arial" w:cs="Arial"/>
                <w:color w:val="6C6361"/>
                <w:sz w:val="24"/>
                <w:szCs w:val="24"/>
              </w:rPr>
              <w:t xml:space="preserve"> Americana de </w:t>
            </w:r>
            <w:proofErr w:type="spellStart"/>
            <w:r w:rsidRPr="00EF7BBF">
              <w:rPr>
                <w:rFonts w:ascii="Arial" w:hAnsi="Arial" w:cs="Arial"/>
                <w:color w:val="6C6361"/>
                <w:sz w:val="24"/>
                <w:szCs w:val="24"/>
              </w:rPr>
              <w:t>Vapores</w:t>
            </w:r>
            <w:proofErr w:type="spellEnd"/>
            <w:r w:rsidRPr="00EF7BBF">
              <w:rPr>
                <w:rFonts w:ascii="Arial" w:hAnsi="Arial" w:cs="Arial"/>
                <w:color w:val="6C6361"/>
                <w:sz w:val="24"/>
                <w:szCs w:val="24"/>
              </w:rPr>
              <w:t xml:space="preserve"> SA v </w:t>
            </w:r>
            <w:proofErr w:type="spellStart"/>
            <w:r w:rsidRPr="00EF7BBF">
              <w:rPr>
                <w:rFonts w:ascii="Arial" w:hAnsi="Arial" w:cs="Arial"/>
                <w:color w:val="6C6361"/>
                <w:sz w:val="24"/>
                <w:szCs w:val="24"/>
              </w:rPr>
              <w:t>Hin</w:t>
            </w:r>
            <w:proofErr w:type="spellEnd"/>
            <w:r w:rsidRPr="00EF7BBF">
              <w:rPr>
                <w:rFonts w:ascii="Arial" w:hAnsi="Arial" w:cs="Arial"/>
                <w:color w:val="6C6361"/>
                <w:sz w:val="24"/>
                <w:szCs w:val="24"/>
              </w:rPr>
              <w:t>-Pro International Logistics Limited (in Receivership) [2015] 2 HKLRD 458</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proofErr w:type="spellStart"/>
            <w:r w:rsidRPr="00EF7BBF">
              <w:rPr>
                <w:rFonts w:ascii="Arial" w:hAnsi="Arial" w:cs="Arial"/>
                <w:color w:val="6C6361"/>
                <w:sz w:val="24"/>
                <w:szCs w:val="24"/>
              </w:rPr>
              <w:t>Abela</w:t>
            </w:r>
            <w:proofErr w:type="spellEnd"/>
            <w:r w:rsidRPr="00EF7BBF">
              <w:rPr>
                <w:rFonts w:ascii="Arial" w:hAnsi="Arial" w:cs="Arial"/>
                <w:color w:val="6C6361"/>
                <w:sz w:val="24"/>
                <w:szCs w:val="24"/>
              </w:rPr>
              <w:t xml:space="preserve"> v </w:t>
            </w:r>
            <w:proofErr w:type="spellStart"/>
            <w:r w:rsidRPr="00EF7BBF">
              <w:rPr>
                <w:rFonts w:ascii="Arial" w:hAnsi="Arial" w:cs="Arial"/>
                <w:color w:val="6C6361"/>
                <w:sz w:val="24"/>
                <w:szCs w:val="24"/>
              </w:rPr>
              <w:t>Baadarani</w:t>
            </w:r>
            <w:proofErr w:type="spellEnd"/>
            <w:r w:rsidRPr="00EF7BBF">
              <w:rPr>
                <w:rFonts w:ascii="Arial" w:hAnsi="Arial" w:cs="Arial"/>
                <w:color w:val="6C6361"/>
                <w:sz w:val="24"/>
                <w:szCs w:val="24"/>
              </w:rPr>
              <w:t xml:space="preserve"> [2013] 1 WLR 2304</w:t>
            </w:r>
          </w:p>
          <w:p w:rsidR="00A12559" w:rsidRPr="00EF7BBF" w:rsidRDefault="00A12559" w:rsidP="006338AE">
            <w:pPr>
              <w:pStyle w:val="ListParagraph"/>
              <w:numPr>
                <w:ilvl w:val="0"/>
                <w:numId w:val="1"/>
              </w:numPr>
              <w:spacing w:line="276" w:lineRule="auto"/>
              <w:jc w:val="left"/>
              <w:rPr>
                <w:rFonts w:ascii="Arial" w:hAnsi="Arial" w:cs="Arial"/>
                <w:color w:val="6C6361"/>
                <w:sz w:val="24"/>
                <w:szCs w:val="24"/>
              </w:rPr>
            </w:pPr>
            <w:r w:rsidRPr="00EF7BBF">
              <w:rPr>
                <w:rFonts w:ascii="Arial" w:hAnsi="Arial" w:cs="Arial"/>
                <w:color w:val="6C6361"/>
                <w:sz w:val="24"/>
                <w:szCs w:val="24"/>
              </w:rPr>
              <w:t>A v B [2015] 3 HKLRD 586</w:t>
            </w:r>
          </w:p>
        </w:tc>
      </w:tr>
    </w:tbl>
    <w:p w:rsidR="00A12559" w:rsidRPr="00362199" w:rsidRDefault="00A12559" w:rsidP="00A12559">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30"/>
        <w:gridCol w:w="1255"/>
      </w:tblGrid>
      <w:tr w:rsidR="00A12559" w:rsidRPr="00B90951" w:rsidTr="006338AE">
        <w:trPr>
          <w:trHeight w:val="397"/>
          <w:jc w:val="center"/>
        </w:trPr>
        <w:tc>
          <w:tcPr>
            <w:tcW w:w="1701" w:type="dxa"/>
            <w:tcBorders>
              <w:top w:val="nil"/>
              <w:left w:val="nil"/>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EVT000000115</w:t>
            </w:r>
          </w:p>
        </w:tc>
        <w:tc>
          <w:tcPr>
            <w:tcW w:w="1701" w:type="dxa"/>
            <w:tcBorders>
              <w:top w:val="nil"/>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A12559" w:rsidRPr="00B90951" w:rsidTr="006338AE">
        <w:trPr>
          <w:trHeight w:val="397"/>
          <w:jc w:val="center"/>
        </w:trPr>
        <w:tc>
          <w:tcPr>
            <w:tcW w:w="1701" w:type="dxa"/>
            <w:tcBorders>
              <w:top w:val="single" w:sz="12" w:space="0" w:color="FFFFFF"/>
              <w:left w:val="nil"/>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June 2016</w:t>
            </w:r>
            <w:r w:rsidRPr="00B90951">
              <w:rPr>
                <w:rFonts w:ascii="Arial" w:hAnsi="Arial" w:cs="Arial"/>
                <w:b/>
                <w:color w:val="6C6361"/>
                <w:sz w:val="20"/>
                <w:szCs w:val="20"/>
              </w:rPr>
              <w:t xml:space="preserve"> (</w:t>
            </w:r>
            <w:r>
              <w:rPr>
                <w:rFonts w:ascii="Arial" w:hAnsi="Arial" w:cs="Arial"/>
                <w:b/>
                <w:color w:val="6C6361"/>
                <w:sz w:val="20"/>
                <w:szCs w:val="20"/>
              </w:rPr>
              <w:t>Monday</w:t>
            </w:r>
            <w:r w:rsidRPr="00B90951">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A12559" w:rsidRPr="00B90951" w:rsidTr="006338AE">
        <w:trPr>
          <w:trHeight w:val="397"/>
          <w:jc w:val="center"/>
        </w:trPr>
        <w:tc>
          <w:tcPr>
            <w:tcW w:w="1701" w:type="dxa"/>
            <w:tcBorders>
              <w:top w:val="single" w:sz="12" w:space="0" w:color="FFFFFF"/>
              <w:left w:val="nil"/>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12559"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rsidR="00A12559" w:rsidRPr="0037693A"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7693A">
              <w:rPr>
                <w:rFonts w:ascii="Arial" w:hAnsi="Arial" w:cs="Arial"/>
                <w:color w:val="6C6361"/>
                <w:sz w:val="20"/>
                <w:szCs w:val="20"/>
              </w:rPr>
              <w:t>(LSHK Allocated Number: 20160736)</w:t>
            </w:r>
          </w:p>
        </w:tc>
      </w:tr>
      <w:tr w:rsidR="00A12559" w:rsidRPr="00B90951" w:rsidTr="006338AE">
        <w:trPr>
          <w:trHeight w:val="1247"/>
          <w:jc w:val="center"/>
        </w:trPr>
        <w:tc>
          <w:tcPr>
            <w:tcW w:w="1701" w:type="dxa"/>
            <w:tcBorders>
              <w:top w:val="single" w:sz="12" w:space="0" w:color="FFFFFF"/>
              <w:left w:val="nil"/>
              <w:bottom w:val="nil"/>
            </w:tcBorders>
            <w:shd w:val="clear" w:color="auto" w:fill="F0EBE1"/>
            <w:vAlign w:val="center"/>
          </w:tcPr>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12559" w:rsidRPr="00B90951" w:rsidRDefault="00A12559" w:rsidP="006338A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proofErr w:type="spellStart"/>
            <w:r w:rsidRPr="00B90951">
              <w:rPr>
                <w:rStyle w:val="Hyperlink"/>
                <w:rFonts w:ascii="Arial" w:hAnsi="Arial" w:cs="Arial"/>
                <w:b/>
                <w:color w:val="6C6361"/>
                <w:sz w:val="20"/>
                <w:szCs w:val="20"/>
                <w:u w:val="none"/>
              </w:rPr>
              <w:t>Kornerstone</w:t>
            </w:r>
            <w:proofErr w:type="spellEnd"/>
            <w:r w:rsidRPr="00B90951">
              <w:rPr>
                <w:rStyle w:val="Hyperlink"/>
                <w:rFonts w:ascii="Arial" w:hAnsi="Arial" w:cs="Arial"/>
                <w:b/>
                <w:color w:val="6C6361"/>
                <w:sz w:val="20"/>
                <w:szCs w:val="20"/>
                <w:u w:val="none"/>
              </w:rPr>
              <w:t xml:space="preserve"> Institute</w:t>
            </w:r>
          </w:p>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15/F, Hip </w:t>
            </w:r>
            <w:proofErr w:type="spellStart"/>
            <w:r w:rsidRPr="00B90951">
              <w:rPr>
                <w:rStyle w:val="Hyperlink"/>
                <w:rFonts w:ascii="Arial" w:hAnsi="Arial" w:cs="Arial"/>
                <w:color w:val="6C6361"/>
                <w:sz w:val="20"/>
                <w:szCs w:val="20"/>
                <w:u w:val="none"/>
              </w:rPr>
              <w:t>Shing</w:t>
            </w:r>
            <w:proofErr w:type="spellEnd"/>
            <w:r w:rsidRPr="00B90951">
              <w:rPr>
                <w:rStyle w:val="Hyperlink"/>
                <w:rFonts w:ascii="Arial" w:hAnsi="Arial" w:cs="Arial"/>
                <w:color w:val="6C6361"/>
                <w:sz w:val="20"/>
                <w:szCs w:val="20"/>
                <w:u w:val="none"/>
              </w:rPr>
              <w:t xml:space="preserve"> Hong Centre</w:t>
            </w:r>
          </w:p>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55 Des </w:t>
            </w:r>
            <w:proofErr w:type="spellStart"/>
            <w:r w:rsidRPr="00B90951">
              <w:rPr>
                <w:rStyle w:val="Hyperlink"/>
                <w:rFonts w:ascii="Arial" w:hAnsi="Arial" w:cs="Arial"/>
                <w:color w:val="6C6361"/>
                <w:sz w:val="20"/>
                <w:szCs w:val="20"/>
                <w:u w:val="none"/>
              </w:rPr>
              <w:t>Voeux</w:t>
            </w:r>
            <w:proofErr w:type="spellEnd"/>
            <w:r w:rsidRPr="00B90951">
              <w:rPr>
                <w:rStyle w:val="Hyperlink"/>
                <w:rFonts w:ascii="Arial" w:hAnsi="Arial" w:cs="Arial"/>
                <w:color w:val="6C6361"/>
                <w:sz w:val="20"/>
                <w:szCs w:val="20"/>
                <w:u w:val="none"/>
              </w:rPr>
              <w:t xml:space="preserve"> Road Central</w:t>
            </w:r>
          </w:p>
          <w:p w:rsidR="00A12559" w:rsidRPr="00B9095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12559" w:rsidRPr="00B90951" w:rsidRDefault="00A12559" w:rsidP="006338AE">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7582DB31" wp14:editId="381FE2A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12559" w:rsidRPr="00B90951" w:rsidRDefault="00A12559" w:rsidP="006338A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12559" w:rsidRPr="003A2A4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12559" w:rsidRPr="003A2A4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30" w:type="dxa"/>
            <w:tcBorders>
              <w:top w:val="single" w:sz="12" w:space="0" w:color="F0EBE1"/>
              <w:bottom w:val="nil"/>
              <w:right w:val="nil"/>
            </w:tcBorders>
            <w:shd w:val="clear" w:color="auto" w:fill="FFFFFF"/>
            <w:vAlign w:val="center"/>
          </w:tcPr>
          <w:p w:rsidR="00A12559" w:rsidRPr="003A2A4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A12559" w:rsidRPr="003A2A41"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55" w:type="dxa"/>
            <w:tcBorders>
              <w:top w:val="nil"/>
              <w:left w:val="nil"/>
              <w:bottom w:val="nil"/>
              <w:right w:val="nil"/>
            </w:tcBorders>
            <w:shd w:val="clear" w:color="auto" w:fill="FFFFFF"/>
            <w:vAlign w:val="center"/>
          </w:tcPr>
          <w:p w:rsidR="00A12559" w:rsidRPr="00156567" w:rsidRDefault="00A12559" w:rsidP="0063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A472A9D" wp14:editId="573A8BD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12559" w:rsidRDefault="00214BC6" w:rsidP="00A12559"/>
    <w:sectPr w:rsidR="00214BC6" w:rsidRPr="00A1255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FF8" w:rsidRDefault="006B5FF8" w:rsidP="00546556">
      <w:r>
        <w:separator/>
      </w:r>
    </w:p>
  </w:endnote>
  <w:endnote w:type="continuationSeparator" w:id="0">
    <w:p w:rsidR="006B5FF8" w:rsidRDefault="006B5FF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FF8" w:rsidRDefault="006B5FF8" w:rsidP="00546556">
      <w:r>
        <w:separator/>
      </w:r>
    </w:p>
  </w:footnote>
  <w:footnote w:type="continuationSeparator" w:id="0">
    <w:p w:rsidR="006B5FF8" w:rsidRDefault="006B5FF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n6c3rLQ7aDjONxfzgJnb5TztSK79PgnDOpMBdhfhMN2vYdwre6CIRAD59/XQhoiZ/BsE4MnKb310F/GGP0eS0A==" w:salt="AycVdGaZMDVCHwtUsL0L1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5FF8"/>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559"/>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7DE"/>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267/"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36575-37E3-4AF5-ADDB-A85270B8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CPT Course: Execution and Proof of Company Documents for Overseas Use Under the New Companies Ordinance (Cap.622)</vt:lpstr>
    </vt:vector>
  </TitlesOfParts>
  <Manager>Tyrone Tsang</Manager>
  <Company>The Profectional Company Limited</Company>
  <LinksUpToDate>false</LinksUpToDate>
  <CharactersWithSpaces>3559</CharactersWithSpaces>
  <SharedDoc>false</SharedDoc>
  <HyperlinkBase>http://download.profectional.com/events/EVT000000115.docx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Private International Law and Comity</dc:title>
  <dc:subject>CPD Course: Private International Law and Comity</dc:subject>
  <dc:creator>The Profectional Company Limited</dc:creator>
  <cp:keywords>Profectional; Kornerstone; CPD; CPT; CLE; CE; RME; Clemence Yeung; Barrister-at-Law</cp:keywords>
  <cp:lastModifiedBy>Tyrone Tsang</cp:lastModifiedBy>
  <cp:revision>36</cp:revision>
  <cp:lastPrinted>2016-06-19T12:55:00Z</cp:lastPrinted>
  <dcterms:created xsi:type="dcterms:W3CDTF">2015-08-21T08:33:00Z</dcterms:created>
  <dcterms:modified xsi:type="dcterms:W3CDTF">2016-06-19T12:55:00Z</dcterms:modified>
</cp:coreProperties>
</file>