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E22" w:rsidRPr="00E21E22" w:rsidRDefault="00E21E22" w:rsidP="00E21E22">
      <w:pPr>
        <w:spacing w:line="276" w:lineRule="auto"/>
        <w:jc w:val="left"/>
        <w:rPr>
          <w:rFonts w:ascii="Arial" w:hAnsi="Arial" w:cs="Arial"/>
          <w:sz w:val="2"/>
          <w:szCs w:val="20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E21E22" w:rsidRPr="00523A64" w:rsidTr="00EF0FF6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E21E22" w:rsidRPr="001A3018" w:rsidRDefault="00E21E22" w:rsidP="00EF0FF6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E21E22" w:rsidRPr="00AD645C" w:rsidRDefault="00E21E22" w:rsidP="00EF0FF6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E21E22" w:rsidRPr="00B8559C" w:rsidRDefault="00E21E22" w:rsidP="00EF0FF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"http://cpd.hk/evt000000117/"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E21E22" w:rsidRPr="00C65AFD" w:rsidRDefault="00E21E22" w:rsidP="00EF0FF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E21E22" w:rsidRPr="00C65AFD" w:rsidRDefault="00E21E22" w:rsidP="00EF0FF6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E21E22" w:rsidRPr="00C65AFD" w:rsidRDefault="00E21E22" w:rsidP="00EF0FF6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E21E22" w:rsidRDefault="00E21E22" w:rsidP="00EF0FF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E21E22" w:rsidRDefault="00E21E22" w:rsidP="00EF0FF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E21E22" w:rsidRDefault="00E21E22" w:rsidP="00EF0FF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E21E22" w:rsidRDefault="00E21E22" w:rsidP="00EF0FF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E21E22" w:rsidRDefault="00E21E22" w:rsidP="00EF0FF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E21E22" w:rsidRPr="003974E9" w:rsidRDefault="00E21E22" w:rsidP="00EF0FF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E21E22" w:rsidRDefault="00E21E22" w:rsidP="00EF0FF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E21E22" w:rsidRPr="00C65AFD" w:rsidRDefault="00E21E22" w:rsidP="00EF0FF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E21E22" w:rsidRPr="00AD645C" w:rsidRDefault="00E21E22" w:rsidP="00EF0FF6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E21E22" w:rsidRPr="00D50772" w:rsidRDefault="00E21E22" w:rsidP="00EF0FF6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7550A4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8DB7834" wp14:editId="569F3B88">
                  <wp:simplePos x="0" y="0"/>
                  <wp:positionH relativeFrom="column">
                    <wp:posOffset>3180080</wp:posOffset>
                  </wp:positionH>
                  <wp:positionV relativeFrom="paragraph">
                    <wp:posOffset>-222250</wp:posOffset>
                  </wp:positionV>
                  <wp:extent cx="539750" cy="546735"/>
                  <wp:effectExtent l="0" t="0" r="0" b="5715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5BBBCAE" wp14:editId="7E4224BE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E22" w:rsidRPr="00A84E46" w:rsidRDefault="00E21E22" w:rsidP="00E21E22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E21E22" w:rsidRPr="006A082B" w:rsidTr="00EF0FF6">
        <w:trPr>
          <w:trHeight w:val="332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E21E22" w:rsidRPr="006A082B" w:rsidRDefault="00E21E22" w:rsidP="00EF0FF6">
            <w:pPr>
              <w:spacing w:line="276" w:lineRule="auto"/>
              <w:contextualSpacing/>
              <w:jc w:val="center"/>
              <w:rPr>
                <w:rFonts w:ascii="Arial" w:hAnsi="Arial" w:cs="Arial"/>
                <w:szCs w:val="21"/>
              </w:rPr>
            </w:pPr>
            <w:r w:rsidRPr="006A082B"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4A887C71" wp14:editId="711AD8C9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E21E22" w:rsidRPr="006A082B" w:rsidRDefault="00E21E22" w:rsidP="00EF0FF6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 xml:space="preserve">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is an Associate Professor in the Faculty of Law </w:t>
            </w:r>
            <w:r w:rsidRPr="003974E9">
              <w:rPr>
                <w:rFonts w:ascii="Arial" w:hAnsi="Arial" w:cs="Arial"/>
                <w:color w:val="6C6361"/>
                <w:sz w:val="22"/>
              </w:rPr>
              <w:t xml:space="preserve">as well as the Director of the Asian Institute of International Financial Law (AIIFL) at </w:t>
            </w:r>
            <w:r w:rsidRPr="006A082B">
              <w:rPr>
                <w:rFonts w:ascii="Arial" w:hAnsi="Arial" w:cs="Arial"/>
                <w:color w:val="6C6361"/>
                <w:sz w:val="22"/>
              </w:rPr>
              <w:t>the University of Hong Kong.  He qualified as a solicitor in 1993 and practiced insurance litigation with several leading UK firms.  He was also subsequently Called to the Bar in England.</w:t>
            </w:r>
          </w:p>
          <w:p w:rsidR="00E21E22" w:rsidRPr="006A082B" w:rsidRDefault="00E21E22" w:rsidP="00EF0FF6">
            <w:pPr>
              <w:pStyle w:val="NormalWeb"/>
              <w:contextualSpacing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E21E22" w:rsidRPr="006A082B" w:rsidRDefault="00E21E22" w:rsidP="00EF0FF6">
            <w:pPr>
              <w:pStyle w:val="NormalWeb"/>
              <w:contextualSpacing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 xml:space="preserve">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programmes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.  He is a contributing author to 'A Guide to Civil Procedure in Hong Kong' (2015, LexisNexis) and edited 'Civil Justice Reform - What has it achieved?' (2010, Sweet &amp; Maxwell).  Mr. </w:t>
            </w:r>
            <w:proofErr w:type="spellStart"/>
            <w:r w:rsidRPr="006A082B">
              <w:rPr>
                <w:rFonts w:ascii="Arial" w:hAnsi="Arial" w:cs="Arial"/>
                <w:color w:val="6C6361"/>
                <w:sz w:val="22"/>
              </w:rPr>
              <w:t>Meggitt</w:t>
            </w:r>
            <w:proofErr w:type="spellEnd"/>
            <w:r w:rsidRPr="006A082B">
              <w:rPr>
                <w:rFonts w:ascii="Arial" w:hAnsi="Arial" w:cs="Arial"/>
                <w:color w:val="6C6361"/>
                <w:sz w:val="22"/>
              </w:rPr>
              <w:t xml:space="preserve"> is a member of the Hong Kong Law Society's Insurance Law Committee and its Working Party on Litigation Funding.  He is also a member of the Examining Panel under the Higher Rights of Audience Rules and a former director of the Hong Kong Insurance Law Association.</w:t>
            </w:r>
          </w:p>
        </w:tc>
      </w:tr>
    </w:tbl>
    <w:p w:rsidR="00E21E22" w:rsidRDefault="00E21E22" w:rsidP="00E21E22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E21E22" w:rsidRPr="006A082B" w:rsidTr="00EF0FF6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1E22" w:rsidRPr="006A082B" w:rsidRDefault="00E21E22" w:rsidP="00EF0FF6">
            <w:pPr>
              <w:pStyle w:val="NormalWeb"/>
              <w:rPr>
                <w:rFonts w:ascii="Arial" w:hAnsi="Arial" w:cs="Arial"/>
                <w:color w:val="6C6361"/>
                <w:sz w:val="22"/>
              </w:rPr>
            </w:pPr>
            <w:r w:rsidRPr="006A082B">
              <w:rPr>
                <w:rFonts w:ascii="Arial" w:hAnsi="Arial" w:cs="Arial"/>
                <w:color w:val="6C6361"/>
                <w:sz w:val="22"/>
              </w:rPr>
              <w:t>This course is intended to serve as a general introduction to the essential elements of insurance law.</w:t>
            </w:r>
          </w:p>
        </w:tc>
      </w:tr>
      <w:tr w:rsidR="00E21E22" w:rsidRPr="006A082B" w:rsidTr="00EF0FF6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E21E22" w:rsidRPr="006A082B" w:rsidRDefault="00E21E22" w:rsidP="00EF0FF6">
            <w:pPr>
              <w:rPr>
                <w:rFonts w:ascii="Arial" w:hAnsi="Arial" w:cs="Arial"/>
                <w:b/>
                <w:color w:val="524B48"/>
                <w:szCs w:val="24"/>
              </w:rPr>
            </w:pPr>
            <w:r w:rsidRPr="006A082B">
              <w:rPr>
                <w:rFonts w:ascii="Arial" w:hAnsi="Arial" w:cs="Arial"/>
                <w:b/>
                <w:color w:val="524B48"/>
                <w:szCs w:val="24"/>
              </w:rPr>
              <w:t>This course covers:</w:t>
            </w:r>
          </w:p>
        </w:tc>
      </w:tr>
      <w:tr w:rsidR="00E21E22" w:rsidRPr="006A082B" w:rsidTr="00EF0FF6">
        <w:trPr>
          <w:trHeight w:val="2193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21E22" w:rsidRPr="006A082B" w:rsidRDefault="00E21E22" w:rsidP="00EF0FF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7550A4">
              <w:rPr>
                <w:rFonts w:ascii="Arial" w:hAnsi="Arial" w:cs="Arial"/>
                <w:noProof/>
                <w:color w:val="6C6361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DFB79C7" wp14:editId="237B8A5B">
                  <wp:simplePos x="0" y="0"/>
                  <wp:positionH relativeFrom="column">
                    <wp:posOffset>5772150</wp:posOffset>
                  </wp:positionH>
                  <wp:positionV relativeFrom="paragraph">
                    <wp:posOffset>218440</wp:posOffset>
                  </wp:positionV>
                  <wp:extent cx="892175" cy="1018540"/>
                  <wp:effectExtent l="0" t="0" r="317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082B">
              <w:rPr>
                <w:rFonts w:ascii="Arial" w:hAnsi="Arial" w:cs="Arial"/>
                <w:color w:val="6C6361"/>
                <w:szCs w:val="24"/>
              </w:rPr>
              <w:t>The operation and regulation of the insurance market in Hong Kong, including under the new Independent Insurance Authority</w:t>
            </w:r>
          </w:p>
          <w:p w:rsidR="00E21E22" w:rsidRPr="006A082B" w:rsidRDefault="00E21E22" w:rsidP="00EF0FF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The doctrines of 'Insurable Interest' and 'Utmost Good Faith'</w:t>
            </w:r>
          </w:p>
          <w:p w:rsidR="00E21E22" w:rsidRPr="006A082B" w:rsidRDefault="00E21E22" w:rsidP="00EF0FF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Specific terms of insurance contracts and how they differ from those in other contracts</w:t>
            </w:r>
          </w:p>
          <w:p w:rsidR="00E21E22" w:rsidRPr="006A082B" w:rsidRDefault="00E21E22" w:rsidP="00EF0FF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How claims are made by policyholders and dealt with by insurers</w:t>
            </w:r>
          </w:p>
          <w:p w:rsidR="00E21E22" w:rsidRPr="006A082B" w:rsidRDefault="00E21E22" w:rsidP="00EF0FF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>The rights of insurers, including subrogation and contribution</w:t>
            </w:r>
          </w:p>
          <w:p w:rsidR="00E21E22" w:rsidRPr="006A082B" w:rsidRDefault="00E21E22" w:rsidP="00EF0FF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Cs w:val="24"/>
              </w:rPr>
            </w:pPr>
            <w:r w:rsidRPr="006A082B">
              <w:rPr>
                <w:rFonts w:ascii="Arial" w:hAnsi="Arial" w:cs="Arial"/>
                <w:color w:val="6C6361"/>
                <w:szCs w:val="24"/>
              </w:rPr>
              <w:t xml:space="preserve">The role of insurance brokers and agents </w:t>
            </w:r>
          </w:p>
        </w:tc>
      </w:tr>
    </w:tbl>
    <w:p w:rsidR="00E21E22" w:rsidRDefault="00E21E22" w:rsidP="00E21E22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385"/>
        <w:gridCol w:w="1300"/>
      </w:tblGrid>
      <w:tr w:rsidR="00E21E22" w:rsidRPr="00320F79" w:rsidTr="00EF0FF6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EVT000000117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E21E22" w:rsidRPr="00320F79" w:rsidTr="00EF0FF6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25 April</w:t>
            </w:r>
            <w:r w:rsidRPr="00C15038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6</w:t>
            </w:r>
            <w:r w:rsidRPr="00C15038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E21E22" w:rsidRPr="00320F79" w:rsidTr="00EF0FF6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7:45</w:t>
            </w:r>
          </w:p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E21E22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E21E22" w:rsidRPr="00AC5E0D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AC5E0D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20160859)</w:t>
            </w:r>
          </w:p>
          <w:p w:rsidR="00E21E22" w:rsidRPr="00B745DB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E21E22" w:rsidRPr="00320F79" w:rsidTr="00EF0FF6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E21E22" w:rsidRPr="00320F79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E21E22" w:rsidRDefault="00E21E22" w:rsidP="00EF0FF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E21E22" w:rsidRDefault="00E21E22" w:rsidP="00EF0FF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E21E22" w:rsidRPr="00320F79" w:rsidRDefault="00E21E22" w:rsidP="00EF0FF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55778E56" wp14:editId="669C6BCE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E22" w:rsidRPr="00E2201B" w:rsidRDefault="00E21E22" w:rsidP="00EF0FF6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E21E22" w:rsidRPr="00AD1A4E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E21E22" w:rsidRPr="00AD1A4E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8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E21E22" w:rsidRPr="00AD1A4E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E21E22" w:rsidRPr="00AD1A4E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E21E22" w:rsidRPr="001C1D8B" w:rsidRDefault="00E21E22" w:rsidP="00EF0F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19E0B3A0" wp14:editId="5C57C948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E21E22" w:rsidRDefault="00214BC6" w:rsidP="00E21E22">
      <w:pPr>
        <w:tabs>
          <w:tab w:val="left" w:pos="1755"/>
        </w:tabs>
        <w:rPr>
          <w:sz w:val="2"/>
        </w:rPr>
      </w:pPr>
    </w:p>
    <w:sectPr w:rsidR="00214BC6" w:rsidRPr="00E21E22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841" w:rsidRDefault="00056841" w:rsidP="00546556">
      <w:r>
        <w:separator/>
      </w:r>
    </w:p>
  </w:endnote>
  <w:endnote w:type="continuationSeparator" w:id="0">
    <w:p w:rsidR="00056841" w:rsidRDefault="00056841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841" w:rsidRDefault="00056841" w:rsidP="00546556">
      <w:r>
        <w:separator/>
      </w:r>
    </w:p>
  </w:footnote>
  <w:footnote w:type="continuationSeparator" w:id="0">
    <w:p w:rsidR="00056841" w:rsidRDefault="00056841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BEQTiISqsMPMZe9hotWIOYSDvkPf0qhn77Hk2d26VdLVYtG63t9Q4y/Uc9jCegLm+YM4PY0qr98Hvh8WT2+wYA==" w:salt="uNmJShTRxX3uOU5OuoDTh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17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C3DA9-93FC-41E2-BC2A-62733EDAD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2438</CharactersWithSpaces>
  <SharedDoc>false</SharedDoc>
  <HyperlinkBase>http://download.profectional.com/events/EVT000000117.docx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Associate Professor; Faculty of Law; The University of Hong Kong</cp:keywords>
  <cp:lastModifiedBy>Tyrone Tsang</cp:lastModifiedBy>
  <cp:revision>9</cp:revision>
  <cp:lastPrinted>2014-10-16T01:46:00Z</cp:lastPrinted>
  <dcterms:created xsi:type="dcterms:W3CDTF">2015-01-21T17:25:00Z</dcterms:created>
  <dcterms:modified xsi:type="dcterms:W3CDTF">2016-04-24T14:47:00Z</dcterms:modified>
</cp:coreProperties>
</file>