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E43" w:rsidRPr="00952E43" w:rsidRDefault="00952E43" w:rsidP="00952E43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952E43" w:rsidRPr="00523A64" w:rsidTr="00706245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952E43" w:rsidRPr="001A3018" w:rsidRDefault="00952E43" w:rsidP="00706245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952E43" w:rsidRDefault="00952E43" w:rsidP="0070624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"http://cpd.hk/evt000000119/"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952E43" w:rsidRDefault="00952E43" w:rsidP="00706245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:rsidR="00952E43" w:rsidRPr="00C65AFD" w:rsidRDefault="00952E43" w:rsidP="0070624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952E43" w:rsidRPr="00C65AFD" w:rsidRDefault="00952E43" w:rsidP="00706245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952E43" w:rsidRPr="00C65AFD" w:rsidRDefault="00952E43" w:rsidP="00706245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952E43" w:rsidRDefault="00952E43" w:rsidP="0070624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952E43" w:rsidRDefault="00952E43" w:rsidP="0070624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952E43" w:rsidRDefault="00952E43" w:rsidP="0070624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952E43" w:rsidRDefault="00952E43" w:rsidP="0070624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952E43" w:rsidRDefault="00952E43" w:rsidP="0070624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952E43" w:rsidRPr="00481DC3" w:rsidRDefault="00952E43" w:rsidP="0070624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952E43" w:rsidRDefault="00952E43" w:rsidP="0070624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</w:p>
          <w:p w:rsidR="00952E43" w:rsidRPr="00C65AFD" w:rsidRDefault="00952E43" w:rsidP="00706245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952E43" w:rsidRPr="00481DC3" w:rsidRDefault="00952E43" w:rsidP="00706245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952E43" w:rsidRPr="00D50772" w:rsidRDefault="00952E43" w:rsidP="00706245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653827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0D32476" wp14:editId="5F2A8D58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-293370</wp:posOffset>
                  </wp:positionV>
                  <wp:extent cx="539750" cy="546735"/>
                  <wp:effectExtent l="0" t="0" r="0" b="5715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7E7D57EF" wp14:editId="29A36C67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E43" w:rsidRPr="00F83575" w:rsidRDefault="00952E43" w:rsidP="00952E43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952E43" w:rsidRPr="00B23933" w:rsidTr="00706245">
        <w:trPr>
          <w:trHeight w:val="3119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952E43" w:rsidRPr="00B23933" w:rsidRDefault="00952E43" w:rsidP="00706245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B23933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7D827991" wp14:editId="117E9AD4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952E43" w:rsidRDefault="00952E43" w:rsidP="00706245">
            <w:pPr>
              <w:pStyle w:val="NormalWeb"/>
              <w:contextualSpacing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952E43" w:rsidRPr="00952E43" w:rsidRDefault="00952E43" w:rsidP="00706245">
            <w:pPr>
              <w:pStyle w:val="NormalWeb"/>
              <w:contextualSpacing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952E43" w:rsidRPr="00952E43" w:rsidRDefault="00952E43" w:rsidP="00706245">
            <w:pPr>
              <w:pStyle w:val="NormalWeb"/>
              <w:contextualSpacing/>
              <w:rPr>
                <w:rFonts w:ascii="Arial" w:hAnsi="Arial" w:cs="Arial"/>
                <w:color w:val="6C6361"/>
                <w:sz w:val="10"/>
                <w:szCs w:val="10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 teaches civil litigation, commercial disputes resolution and professional practice &amp; management on the PCLL.  He also teaches insurance law on the Faculty's LLM and JD </w:t>
            </w:r>
            <w:proofErr w:type="spellStart"/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.  He is a contributing author to 'A Guide to Civil Procedure in Hong Kong' (2015, LexisNexis) and edited 'Civil Justice Reform - What has it achieved?' (2010, Sweet &amp; Maxwell).  Mr. </w:t>
            </w:r>
            <w:proofErr w:type="spellStart"/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 member of the Hong Kong Law Society's Insurance Law Committee and its Working Party on Litigation Funding.  He is also a member of the Examining Panel under the Higher Rights of Audience Rules and a former director of the Hong Kong Insurance Law Association.</w:t>
            </w:r>
          </w:p>
        </w:tc>
      </w:tr>
    </w:tbl>
    <w:p w:rsidR="00952E43" w:rsidRPr="00F83575" w:rsidRDefault="00952E43" w:rsidP="00952E43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7"/>
        <w:gridCol w:w="5386"/>
      </w:tblGrid>
      <w:tr w:rsidR="00952E43" w:rsidRPr="00B23933" w:rsidTr="00706245">
        <w:trPr>
          <w:trHeight w:val="340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952E43" w:rsidRPr="00B23933" w:rsidRDefault="00952E43" w:rsidP="00706245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B23933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</w:tr>
      <w:tr w:rsidR="00952E43" w:rsidRPr="00B23933" w:rsidTr="00706245">
        <w:trPr>
          <w:trHeight w:val="3119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952E43" w:rsidRPr="00B23933" w:rsidRDefault="00952E43" w:rsidP="00706245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The theory of privilege</w:t>
            </w:r>
          </w:p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An absolute right - </w:t>
            </w:r>
            <w:r w:rsidRPr="00B23933">
              <w:rPr>
                <w:rFonts w:ascii="Arial" w:hAnsi="Arial" w:cs="Arial"/>
                <w:i/>
                <w:color w:val="6C6361"/>
                <w:sz w:val="21"/>
                <w:szCs w:val="21"/>
              </w:rPr>
              <w:t>R v Derby Magistrates Court ex p B, R (Morgan Grenfell) v Special Commissioner of Income Tax</w:t>
            </w: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 and Article 35</w:t>
            </w:r>
          </w:p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Contrast with confidentiality</w:t>
            </w:r>
          </w:p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Scope</w:t>
            </w:r>
          </w:p>
          <w:p w:rsidR="00952E43" w:rsidRPr="00B23933" w:rsidRDefault="00952E43" w:rsidP="00706245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Legal Advice Privilege</w:t>
            </w:r>
          </w:p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client - </w:t>
            </w:r>
            <w:r w:rsidRPr="00B23933">
              <w:rPr>
                <w:rFonts w:ascii="Arial" w:hAnsi="Arial" w:cs="Arial"/>
                <w:i/>
                <w:color w:val="6C6361"/>
                <w:sz w:val="21"/>
                <w:szCs w:val="21"/>
              </w:rPr>
              <w:t>Three Rivers</w:t>
            </w:r>
          </w:p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 xml:space="preserve">Who is a 'lawyer'? - </w:t>
            </w:r>
            <w:r w:rsidRPr="00B23933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Prudential v Special Commissioner of Income Tax </w:t>
            </w: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and</w:t>
            </w:r>
            <w:r w:rsidRPr="00B23933">
              <w:rPr>
                <w:rFonts w:ascii="Arial" w:hAnsi="Arial" w:cs="Arial"/>
                <w:i/>
                <w:color w:val="6C6361"/>
                <w:sz w:val="21"/>
                <w:szCs w:val="21"/>
              </w:rPr>
              <w:t xml:space="preserve"> Allan v Ng Co (a firm)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tabs>
                <w:tab w:val="left" w:pos="5137"/>
              </w:tabs>
              <w:spacing w:line="276" w:lineRule="auto"/>
              <w:jc w:val="left"/>
              <w:rPr>
                <w:rFonts w:ascii="Arial" w:hAnsi="Arial" w:cs="Arial"/>
                <w:i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What is 'advice'?</w:t>
            </w:r>
          </w:p>
          <w:p w:rsidR="00952E43" w:rsidRPr="00B23933" w:rsidRDefault="00952E43" w:rsidP="00706245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Litigation privilege</w:t>
            </w:r>
          </w:p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Litigation and dispute resolution</w:t>
            </w:r>
          </w:p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The dominant purpose test</w:t>
            </w:r>
          </w:p>
          <w:p w:rsidR="00952E43" w:rsidRPr="00B23933" w:rsidRDefault="00952E43" w:rsidP="00706245">
            <w:pPr>
              <w:pStyle w:val="ListParagraph"/>
              <w:numPr>
                <w:ilvl w:val="0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410660E7" wp14:editId="2CC04600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61595</wp:posOffset>
                  </wp:positionV>
                  <wp:extent cx="895985" cy="1022350"/>
                  <wp:effectExtent l="0" t="0" r="0" b="6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The ‘without prejudice’ doctrine</w:t>
            </w:r>
          </w:p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The theory of 'without prejudice'</w:t>
            </w:r>
          </w:p>
          <w:p w:rsidR="00952E43" w:rsidRPr="00B23933" w:rsidRDefault="00952E43" w:rsidP="00706245">
            <w:pPr>
              <w:pStyle w:val="ListParagraph"/>
              <w:numPr>
                <w:ilvl w:val="1"/>
                <w:numId w:val="1"/>
              </w:num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B23933">
              <w:rPr>
                <w:rFonts w:ascii="Arial" w:hAnsi="Arial" w:cs="Arial"/>
                <w:color w:val="6C6361"/>
                <w:sz w:val="21"/>
                <w:szCs w:val="21"/>
              </w:rPr>
              <w:t>Scope and exceptions</w:t>
            </w:r>
          </w:p>
          <w:p w:rsidR="00952E43" w:rsidRPr="00B23933" w:rsidRDefault="00952E43" w:rsidP="00706245">
            <w:p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</w:p>
          <w:p w:rsidR="00952E43" w:rsidRPr="00B23933" w:rsidRDefault="00952E43" w:rsidP="00706245">
            <w:p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</w:p>
          <w:p w:rsidR="00952E43" w:rsidRPr="00B23933" w:rsidRDefault="00952E43" w:rsidP="00706245">
            <w:pPr>
              <w:spacing w:line="276" w:lineRule="auto"/>
              <w:jc w:val="left"/>
              <w:rPr>
                <w:rFonts w:ascii="Arial" w:hAnsi="Arial" w:cs="Arial"/>
                <w:color w:val="6C6361"/>
                <w:sz w:val="21"/>
                <w:szCs w:val="21"/>
              </w:rPr>
            </w:pPr>
          </w:p>
        </w:tc>
      </w:tr>
    </w:tbl>
    <w:p w:rsidR="00952E43" w:rsidRPr="00F83575" w:rsidRDefault="00952E43" w:rsidP="00952E43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86"/>
        <w:gridCol w:w="2863"/>
        <w:gridCol w:w="794"/>
        <w:gridCol w:w="1699"/>
        <w:gridCol w:w="2491"/>
        <w:gridCol w:w="1239"/>
      </w:tblGrid>
      <w:tr w:rsidR="00952E43" w:rsidRPr="00B23933" w:rsidTr="00706245">
        <w:trPr>
          <w:trHeight w:val="284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2393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23933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EVT000000119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2393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23933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952E43" w:rsidRPr="00B23933" w:rsidTr="00706245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2393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23933">
              <w:rPr>
                <w:rFonts w:ascii="Arial" w:hAnsi="Arial" w:cs="Arial"/>
                <w:b/>
                <w:color w:val="6C6361"/>
                <w:sz w:val="20"/>
                <w:szCs w:val="20"/>
              </w:rPr>
              <w:t>30 June 2016 (Thursday)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2393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23933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952E43" w:rsidRPr="00B23933" w:rsidTr="00706245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2393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23933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23933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2393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23933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RME Elective Course</w:t>
            </w:r>
          </w:p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23933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3.0 CPD Points</w:t>
            </w:r>
          </w:p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 w:rsidRPr="00B23933"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20160862)</w:t>
            </w:r>
          </w:p>
        </w:tc>
      </w:tr>
      <w:tr w:rsidR="00952E43" w:rsidRPr="00B23933" w:rsidTr="00706245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23933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B23933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23933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B23933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B23933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B23933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23933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B23933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B23933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23933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B23933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B23933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952E43" w:rsidRPr="00B23933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23933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23933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952E43" w:rsidRPr="00B23933" w:rsidRDefault="00952E43" w:rsidP="0070624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23933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74A3DCC" wp14:editId="2631A61C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E43" w:rsidRPr="00B23933" w:rsidRDefault="00952E43" w:rsidP="00706245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952E43" w:rsidRPr="00AD1A4E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952E43" w:rsidRPr="00AD1A4E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52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952E43" w:rsidRPr="00AD1A4E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952E43" w:rsidRPr="00AD1A4E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52E43" w:rsidRPr="001C1D8B" w:rsidRDefault="00952E43" w:rsidP="007062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59BE4255" wp14:editId="73039FA0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952E43" w:rsidRDefault="00214BC6" w:rsidP="00952E43">
      <w:pPr>
        <w:rPr>
          <w:sz w:val="2"/>
          <w:szCs w:val="2"/>
        </w:rPr>
      </w:pPr>
    </w:p>
    <w:sectPr w:rsidR="00214BC6" w:rsidRPr="00952E43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D0E" w:rsidRDefault="00B03D0E" w:rsidP="00546556">
      <w:r>
        <w:separator/>
      </w:r>
    </w:p>
  </w:endnote>
  <w:endnote w:type="continuationSeparator" w:id="0">
    <w:p w:rsidR="00B03D0E" w:rsidRDefault="00B03D0E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D0E" w:rsidRDefault="00B03D0E" w:rsidP="00546556">
      <w:r>
        <w:separator/>
      </w:r>
    </w:p>
  </w:footnote>
  <w:footnote w:type="continuationSeparator" w:id="0">
    <w:p w:rsidR="00B03D0E" w:rsidRDefault="00B03D0E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7u0XPy0dMm3L78wspWHphJH7FD9f2aTYnqWnESJ+uvJhBtKk4h2uOY0pZedu6/o2J/Coy43Qmtjf9x9LoSn4FQ==" w:salt="A94Mq9DyuyvGYgTRxQxGaQ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10D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2E43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3D0E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19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EB00A-182D-4BDA-A5F4-F6B4782B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2439</CharactersWithSpaces>
  <SharedDoc>false</SharedDoc>
  <HyperlinkBase>http://download.profectional.com/events/EVT000000119.docx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Associate Professor; Faculty of Law; The University of Hong Kong</cp:keywords>
  <cp:lastModifiedBy>Tyrone Tsang</cp:lastModifiedBy>
  <cp:revision>12</cp:revision>
  <cp:lastPrinted>2016-06-29T06:47:00Z</cp:lastPrinted>
  <dcterms:created xsi:type="dcterms:W3CDTF">2015-01-21T17:25:00Z</dcterms:created>
  <dcterms:modified xsi:type="dcterms:W3CDTF">2016-06-29T06:47:00Z</dcterms:modified>
</cp:coreProperties>
</file>