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369C" w:rsidRPr="00AC369C" w:rsidRDefault="00AC369C" w:rsidP="00AC369C">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AC369C" w:rsidRPr="00523A64" w:rsidTr="00444F5B">
        <w:trPr>
          <w:trHeight w:val="3119"/>
          <w:jc w:val="center"/>
        </w:trPr>
        <w:tc>
          <w:tcPr>
            <w:tcW w:w="4820" w:type="dxa"/>
            <w:shd w:val="clear" w:color="auto" w:fill="FFFFFF"/>
            <w:vAlign w:val="center"/>
          </w:tcPr>
          <w:p w:rsidR="00AC369C" w:rsidRPr="001A3018" w:rsidRDefault="00AC369C" w:rsidP="00444F5B">
            <w:pPr>
              <w:jc w:val="center"/>
              <w:rPr>
                <w:rFonts w:ascii="Arial" w:hAnsi="Arial" w:cs="Arial"/>
                <w:b/>
                <w:bCs/>
                <w:color w:val="524B48"/>
                <w:sz w:val="4"/>
                <w:szCs w:val="4"/>
              </w:rPr>
            </w:pPr>
          </w:p>
          <w:p w:rsidR="00AC369C" w:rsidRDefault="00AC369C" w:rsidP="00444F5B">
            <w:pPr>
              <w:jc w:val="center"/>
              <w:rPr>
                <w:rStyle w:val="Hyperlink"/>
                <w:rFonts w:ascii="Arial" w:hAnsi="Arial" w:cs="Arial"/>
                <w:b/>
                <w:bCs/>
                <w:color w:val="524B48"/>
                <w:sz w:val="32"/>
                <w:szCs w:val="32"/>
                <w:u w:val="none"/>
              </w:rPr>
            </w:pPr>
            <w:r w:rsidRPr="00CF685C">
              <w:fldChar w:fldCharType="begin"/>
            </w:r>
            <w:r>
              <w:instrText>HYPERLINK "http://cpd.hk/evt000000120/"</w:instrText>
            </w:r>
            <w:r w:rsidRPr="00CF685C">
              <w:fldChar w:fldCharType="separate"/>
            </w:r>
            <w:r>
              <w:rPr>
                <w:rStyle w:val="Hyperlink"/>
                <w:rFonts w:ascii="Arial" w:hAnsi="Arial" w:cs="Arial"/>
                <w:b/>
                <w:bCs/>
                <w:color w:val="524B48"/>
                <w:sz w:val="32"/>
                <w:szCs w:val="32"/>
                <w:u w:val="none"/>
              </w:rPr>
              <w:t>Effective</w:t>
            </w:r>
          </w:p>
          <w:p w:rsidR="00AC369C" w:rsidRDefault="00AC369C" w:rsidP="00444F5B">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Cross-Examination</w:t>
            </w:r>
          </w:p>
          <w:p w:rsidR="00AC369C" w:rsidRPr="00CF685C" w:rsidRDefault="00AC369C" w:rsidP="00444F5B">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 xml:space="preserve"> Techniques</w:t>
            </w:r>
          </w:p>
          <w:p w:rsidR="00AC369C" w:rsidRPr="00C65AFD" w:rsidRDefault="00AC369C" w:rsidP="00444F5B">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AC369C" w:rsidRPr="00C65AFD" w:rsidRDefault="00AC369C" w:rsidP="00444F5B">
            <w:pPr>
              <w:jc w:val="center"/>
              <w:rPr>
                <w:rFonts w:ascii="Arial" w:hAnsi="Arial" w:cs="Arial"/>
                <w:i/>
                <w:color w:val="6C6361"/>
                <w:sz w:val="24"/>
                <w:szCs w:val="24"/>
              </w:rPr>
            </w:pPr>
            <w:r w:rsidRPr="00C65AFD">
              <w:rPr>
                <w:rFonts w:ascii="Arial" w:hAnsi="Arial" w:cs="Arial"/>
                <w:i/>
                <w:color w:val="6C6361"/>
                <w:sz w:val="24"/>
                <w:szCs w:val="24"/>
              </w:rPr>
              <w:t>by</w:t>
            </w:r>
          </w:p>
          <w:p w:rsidR="00AC369C" w:rsidRDefault="00AC369C" w:rsidP="00444F5B">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Mr. Clive Grossman, Q.C., S.C.</w:t>
              </w:r>
            </w:hyperlink>
            <w:r>
              <w:rPr>
                <w:rStyle w:val="Hyperlink"/>
                <w:rFonts w:ascii="Arial" w:hAnsi="Arial" w:cs="Arial"/>
                <w:color w:val="6C6361"/>
                <w:sz w:val="24"/>
                <w:szCs w:val="24"/>
                <w:u w:val="none"/>
              </w:rPr>
              <w:t>,</w:t>
            </w:r>
          </w:p>
          <w:p w:rsidR="00AC369C" w:rsidRPr="00F812B8" w:rsidRDefault="00AC369C" w:rsidP="00444F5B">
            <w:pPr>
              <w:jc w:val="center"/>
              <w:rPr>
                <w:rFonts w:ascii="Arial" w:hAnsi="Arial" w:cs="Arial"/>
                <w:color w:val="6C6361"/>
                <w:sz w:val="24"/>
                <w:szCs w:val="24"/>
              </w:rPr>
            </w:pPr>
            <w:r>
              <w:rPr>
                <w:rFonts w:ascii="Arial" w:hAnsi="Arial" w:cs="Arial"/>
                <w:color w:val="6C6361"/>
                <w:sz w:val="24"/>
                <w:szCs w:val="24"/>
              </w:rPr>
              <w:t>Barrister-at-Law</w:t>
            </w:r>
            <w:r w:rsidRPr="00F812B8">
              <w:rPr>
                <w:rFonts w:ascii="Arial" w:hAnsi="Arial" w:cs="Arial"/>
                <w:color w:val="6C6361"/>
                <w:sz w:val="24"/>
                <w:szCs w:val="24"/>
              </w:rPr>
              <w:t>,</w:t>
            </w:r>
          </w:p>
          <w:p w:rsidR="00AC369C" w:rsidRDefault="00AC369C" w:rsidP="00444F5B">
            <w:pPr>
              <w:jc w:val="center"/>
              <w:rPr>
                <w:rFonts w:ascii="Arial" w:hAnsi="Arial" w:cs="Arial"/>
                <w:color w:val="6C6361"/>
                <w:sz w:val="24"/>
                <w:szCs w:val="24"/>
              </w:rPr>
            </w:pPr>
            <w:r>
              <w:rPr>
                <w:rFonts w:ascii="Arial" w:hAnsi="Arial" w:cs="Arial"/>
                <w:color w:val="6C6361"/>
                <w:sz w:val="24"/>
                <w:szCs w:val="24"/>
              </w:rPr>
              <w:t>Parkside Chambers</w:t>
            </w:r>
          </w:p>
          <w:p w:rsidR="00AC369C" w:rsidRPr="00D87ECF" w:rsidRDefault="00AC369C" w:rsidP="00444F5B">
            <w:pPr>
              <w:jc w:val="center"/>
              <w:rPr>
                <w:rFonts w:ascii="Arial" w:hAnsi="Arial" w:cs="Arial"/>
                <w:color w:val="6C6361"/>
                <w:sz w:val="8"/>
                <w:szCs w:val="8"/>
              </w:rPr>
            </w:pPr>
          </w:p>
        </w:tc>
        <w:tc>
          <w:tcPr>
            <w:tcW w:w="5954" w:type="dxa"/>
            <w:shd w:val="clear" w:color="auto" w:fill="FFFFFF"/>
            <w:vAlign w:val="center"/>
          </w:tcPr>
          <w:p w:rsidR="00AC369C" w:rsidRPr="00D50772" w:rsidRDefault="00AC369C" w:rsidP="00444F5B">
            <w:pPr>
              <w:spacing w:line="276" w:lineRule="auto"/>
              <w:jc w:val="center"/>
              <w:rPr>
                <w:rFonts w:ascii="Arial" w:eastAsia="Times New Roman" w:hAnsi="Arial" w:cs="Arial"/>
                <w:noProof/>
                <w:sz w:val="20"/>
                <w:szCs w:val="20"/>
              </w:rPr>
            </w:pPr>
            <w:r w:rsidRPr="004446D2">
              <w:rPr>
                <w:rFonts w:ascii="Arial" w:hAnsi="Arial" w:cs="Arial"/>
                <w:noProof/>
                <w:color w:val="6C6361"/>
                <w:lang w:val="en-HK"/>
              </w:rPr>
              <w:drawing>
                <wp:anchor distT="0" distB="0" distL="114300" distR="114300" simplePos="0" relativeHeight="251659264" behindDoc="0" locked="0" layoutInCell="1" allowOverlap="1" wp14:anchorId="76489C33" wp14:editId="5A9D45A4">
                  <wp:simplePos x="0" y="0"/>
                  <wp:positionH relativeFrom="column">
                    <wp:posOffset>3175000</wp:posOffset>
                  </wp:positionH>
                  <wp:positionV relativeFrom="paragraph">
                    <wp:posOffset>-57785</wp:posOffset>
                  </wp:positionV>
                  <wp:extent cx="539750" cy="546735"/>
                  <wp:effectExtent l="0" t="0" r="0" b="5715"/>
                  <wp:wrapNone/>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lang w:val="en-HK"/>
              </w:rPr>
              <w:drawing>
                <wp:inline distT="0" distB="0" distL="0" distR="0" wp14:anchorId="5E857AD2" wp14:editId="41C5A6C0">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AC369C" w:rsidRPr="00522F50" w:rsidRDefault="00AC369C" w:rsidP="00AC369C">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AC369C" w:rsidRPr="00AA40DB" w:rsidTr="00444F5B">
        <w:trPr>
          <w:trHeight w:val="6861"/>
          <w:jc w:val="center"/>
        </w:trPr>
        <w:tc>
          <w:tcPr>
            <w:tcW w:w="1985" w:type="dxa"/>
            <w:shd w:val="clear" w:color="auto" w:fill="FFFFFF"/>
            <w:vAlign w:val="center"/>
          </w:tcPr>
          <w:p w:rsidR="00AC369C" w:rsidRPr="00AA40DB" w:rsidRDefault="00AC369C" w:rsidP="00444F5B">
            <w:pPr>
              <w:spacing w:line="276" w:lineRule="auto"/>
              <w:contextualSpacing/>
              <w:jc w:val="center"/>
              <w:rPr>
                <w:rFonts w:ascii="Arial" w:hAnsi="Arial" w:cs="Arial"/>
                <w:sz w:val="20"/>
                <w:szCs w:val="20"/>
              </w:rPr>
            </w:pPr>
            <w:r w:rsidRPr="00AA40DB">
              <w:rPr>
                <w:rFonts w:ascii="Arial" w:hAnsi="Arial" w:cs="Arial"/>
                <w:noProof/>
                <w:sz w:val="20"/>
                <w:szCs w:val="20"/>
                <w:lang w:val="en-HK"/>
              </w:rPr>
              <w:drawing>
                <wp:inline distT="0" distB="0" distL="0" distR="0" wp14:anchorId="569AF322" wp14:editId="116E41F6">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AC369C" w:rsidRPr="00EE5DE5" w:rsidRDefault="00AC369C" w:rsidP="00444F5B">
            <w:pPr>
              <w:pStyle w:val="NormalWeb"/>
              <w:contextualSpacing/>
              <w:rPr>
                <w:rFonts w:ascii="Arial" w:hAnsi="Arial" w:cs="Arial"/>
                <w:color w:val="6C6361"/>
              </w:rPr>
            </w:pPr>
            <w:r w:rsidRPr="00EE5DE5">
              <w:rPr>
                <w:rFonts w:ascii="Arial" w:hAnsi="Arial" w:cs="Arial"/>
                <w:color w:val="6C6361"/>
              </w:rPr>
              <w:t xml:space="preserve">Clive graduated BA and </w:t>
            </w:r>
            <w:proofErr w:type="gramStart"/>
            <w:r w:rsidRPr="00EE5DE5">
              <w:rPr>
                <w:rFonts w:ascii="Arial" w:hAnsi="Arial" w:cs="Arial"/>
                <w:color w:val="6C6361"/>
              </w:rPr>
              <w:t>LL.B</w:t>
            </w:r>
            <w:proofErr w:type="gramEnd"/>
            <w:r w:rsidRPr="00EE5DE5">
              <w:rPr>
                <w:rFonts w:ascii="Arial" w:hAnsi="Arial" w:cs="Arial"/>
                <w:color w:val="6C6361"/>
              </w:rPr>
              <w:t xml:space="preserve"> from the University of Cape Town.</w:t>
            </w:r>
            <w:r>
              <w:rPr>
                <w:rFonts w:ascii="Arial" w:hAnsi="Arial" w:cs="Arial"/>
                <w:color w:val="6C6361"/>
              </w:rPr>
              <w:t xml:space="preserve"> </w:t>
            </w:r>
          </w:p>
          <w:p w:rsidR="00AC369C" w:rsidRPr="00522F50" w:rsidRDefault="00AC369C" w:rsidP="00444F5B">
            <w:pPr>
              <w:pStyle w:val="NormalWeb"/>
              <w:contextualSpacing/>
              <w:rPr>
                <w:rFonts w:ascii="Arial" w:hAnsi="Arial" w:cs="Arial"/>
                <w:color w:val="6C6361"/>
                <w:sz w:val="16"/>
                <w:szCs w:val="16"/>
              </w:rPr>
            </w:pPr>
          </w:p>
          <w:p w:rsidR="00AC369C" w:rsidRPr="00EE5DE5" w:rsidRDefault="00AC369C" w:rsidP="00444F5B">
            <w:pPr>
              <w:pStyle w:val="NormalWeb"/>
              <w:contextualSpacing/>
              <w:rPr>
                <w:rFonts w:ascii="Arial" w:hAnsi="Arial" w:cs="Arial"/>
                <w:color w:val="6C6361"/>
              </w:rPr>
            </w:pPr>
            <w:r w:rsidRPr="00EE5DE5">
              <w:rPr>
                <w:rFonts w:ascii="Arial" w:hAnsi="Arial" w:cs="Arial"/>
                <w:color w:val="6C6361"/>
              </w:rPr>
              <w:t>He was called to the Rhodesian Bar (later the Zimbabwe Bar) in 1967 and practiced there until 1983.  He joined the then Hong Kong Legal Department in 1983 and worked in the Prosecutions and Civil Division.  Before he left the public sector in 1994, he had reached the position of Deputy Director of Public Prosecution and the Head of Commercial Crime Unit.  He was appointed Queen’s Counsel in 1993.  He is also a Fellow of the Chartered Institute of Arbitrators (</w:t>
            </w:r>
            <w:proofErr w:type="spellStart"/>
            <w:r w:rsidRPr="00EE5DE5">
              <w:rPr>
                <w:rFonts w:ascii="Arial" w:hAnsi="Arial" w:cs="Arial"/>
                <w:color w:val="6C6361"/>
              </w:rPr>
              <w:t>FCIArb</w:t>
            </w:r>
            <w:proofErr w:type="spellEnd"/>
            <w:r w:rsidRPr="00EE5DE5">
              <w:rPr>
                <w:rFonts w:ascii="Arial" w:hAnsi="Arial" w:cs="Arial"/>
                <w:color w:val="6C6361"/>
              </w:rPr>
              <w:t>) and a CEDR Accredited Mediator.</w:t>
            </w:r>
          </w:p>
          <w:p w:rsidR="00AC369C" w:rsidRPr="00522F50" w:rsidRDefault="00AC369C" w:rsidP="00444F5B">
            <w:pPr>
              <w:pStyle w:val="NormalWeb"/>
              <w:contextualSpacing/>
              <w:rPr>
                <w:rFonts w:ascii="Arial" w:hAnsi="Arial" w:cs="Arial"/>
                <w:color w:val="6C6361"/>
                <w:sz w:val="16"/>
                <w:szCs w:val="16"/>
              </w:rPr>
            </w:pPr>
          </w:p>
          <w:p w:rsidR="00AC369C" w:rsidRPr="00EE5DE5" w:rsidRDefault="00AC369C" w:rsidP="00444F5B">
            <w:pPr>
              <w:pStyle w:val="NormalWeb"/>
              <w:contextualSpacing/>
              <w:rPr>
                <w:rFonts w:ascii="Arial" w:hAnsi="Arial" w:cs="Arial"/>
                <w:color w:val="6C6361"/>
              </w:rPr>
            </w:pPr>
            <w:r w:rsidRPr="00EE5DE5">
              <w:rPr>
                <w:rFonts w:ascii="Arial" w:hAnsi="Arial" w:cs="Arial"/>
                <w:color w:val="6C6361"/>
              </w:rPr>
              <w:t xml:space="preserve">Clive has served as Vice Chairman of the Hong Kong Bar Association.  He was formerly an executive member of the International Criminal Bar Association and a World Court listed counsel.  He has been the General Editor of </w:t>
            </w:r>
            <w:proofErr w:type="spellStart"/>
            <w:r w:rsidRPr="00EE5DE5">
              <w:rPr>
                <w:rFonts w:ascii="Arial" w:hAnsi="Arial" w:cs="Arial"/>
                <w:color w:val="6C6361"/>
              </w:rPr>
              <w:t>Archbold</w:t>
            </w:r>
            <w:proofErr w:type="spellEnd"/>
            <w:r w:rsidRPr="00EE5DE5">
              <w:rPr>
                <w:rFonts w:ascii="Arial" w:hAnsi="Arial" w:cs="Arial"/>
                <w:color w:val="6C6361"/>
              </w:rPr>
              <w:t xml:space="preserve"> Hong Kong.</w:t>
            </w:r>
          </w:p>
          <w:p w:rsidR="00AC369C" w:rsidRPr="00522F50" w:rsidRDefault="00AC369C" w:rsidP="00444F5B">
            <w:pPr>
              <w:pStyle w:val="NormalWeb"/>
              <w:contextualSpacing/>
              <w:rPr>
                <w:rFonts w:ascii="Arial" w:hAnsi="Arial" w:cs="Arial"/>
                <w:color w:val="6C6361"/>
                <w:sz w:val="16"/>
                <w:szCs w:val="16"/>
              </w:rPr>
            </w:pPr>
          </w:p>
          <w:p w:rsidR="00AC369C" w:rsidRPr="00EE5DE5" w:rsidRDefault="00AC369C" w:rsidP="00444F5B">
            <w:pPr>
              <w:pStyle w:val="NormalWeb"/>
              <w:contextualSpacing/>
              <w:rPr>
                <w:rFonts w:ascii="Arial" w:hAnsi="Arial" w:cs="Arial"/>
                <w:color w:val="6C6361"/>
              </w:rPr>
            </w:pPr>
            <w:r w:rsidRPr="00EE5DE5">
              <w:rPr>
                <w:rFonts w:ascii="Arial" w:hAnsi="Arial" w:cs="Arial"/>
                <w:color w:val="6C6361"/>
              </w:rPr>
              <w:t>Clive is experienced in criminal matters such as commercial crime, money-laundering, corruption and cases involving human rights issues.  He has also experience in international criminal practice as he has advised Governments of several countries.</w:t>
            </w:r>
          </w:p>
          <w:p w:rsidR="00AC369C" w:rsidRPr="00522F50" w:rsidRDefault="00AC369C" w:rsidP="00444F5B">
            <w:pPr>
              <w:pStyle w:val="NormalWeb"/>
              <w:contextualSpacing/>
              <w:rPr>
                <w:rFonts w:ascii="Arial" w:hAnsi="Arial" w:cs="Arial"/>
                <w:color w:val="6C6361"/>
                <w:sz w:val="16"/>
                <w:szCs w:val="16"/>
              </w:rPr>
            </w:pPr>
          </w:p>
          <w:p w:rsidR="00AC369C" w:rsidRPr="00AA40DB" w:rsidRDefault="00AC369C" w:rsidP="00444F5B">
            <w:pPr>
              <w:pStyle w:val="NormalWeb"/>
              <w:contextualSpacing/>
              <w:rPr>
                <w:rFonts w:ascii="Arial" w:hAnsi="Arial" w:cs="Arial"/>
                <w:color w:val="6C6361"/>
                <w:sz w:val="20"/>
                <w:szCs w:val="20"/>
              </w:rPr>
            </w:pPr>
            <w:r w:rsidRPr="00EE5DE5">
              <w:rPr>
                <w:rFonts w:ascii="Arial" w:hAnsi="Arial" w:cs="Arial"/>
                <w:color w:val="6C6361"/>
              </w:rPr>
              <w:t>Clive has also an established public law and civil practice as he has been involved in judicial reviews relating to right of abode, town planning and professional bodies; in contractual disputes, probate, fraudulent trading etc.  He has been involved in many high-profile cases, both civil and criminal since 1983.  Clive also has experience of sitting as an arbitrator or appearing as counsel in arbitrations.</w:t>
            </w:r>
          </w:p>
        </w:tc>
      </w:tr>
    </w:tbl>
    <w:p w:rsidR="00AC369C" w:rsidRPr="006A14F8" w:rsidRDefault="00AC369C" w:rsidP="00AC369C">
      <w:pPr>
        <w:spacing w:line="276" w:lineRule="auto"/>
        <w:jc w:val="left"/>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AC369C" w:rsidRPr="00EE5DE5" w:rsidTr="00444F5B">
        <w:trPr>
          <w:trHeight w:val="454"/>
          <w:jc w:val="center"/>
        </w:trPr>
        <w:tc>
          <w:tcPr>
            <w:tcW w:w="10773" w:type="dxa"/>
            <w:tcBorders>
              <w:top w:val="nil"/>
              <w:bottom w:val="nil"/>
            </w:tcBorders>
            <w:shd w:val="clear" w:color="auto" w:fill="F0EBE1"/>
            <w:vAlign w:val="center"/>
          </w:tcPr>
          <w:p w:rsidR="00AC369C" w:rsidRPr="00522F50" w:rsidRDefault="00AC369C" w:rsidP="00444F5B">
            <w:pPr>
              <w:jc w:val="center"/>
              <w:rPr>
                <w:rFonts w:ascii="Arial" w:hAnsi="Arial" w:cs="Arial"/>
                <w:b/>
                <w:color w:val="524B48"/>
                <w:sz w:val="24"/>
                <w:szCs w:val="24"/>
              </w:rPr>
            </w:pPr>
            <w:r w:rsidRPr="00522F50">
              <w:rPr>
                <w:rFonts w:ascii="Arial" w:hAnsi="Arial" w:cs="Arial"/>
                <w:b/>
                <w:color w:val="524B48"/>
                <w:sz w:val="24"/>
                <w:szCs w:val="24"/>
              </w:rPr>
              <w:t>Ever wanted to dominate the courtroom with extensive cross-examination techniques?</w:t>
            </w:r>
          </w:p>
        </w:tc>
      </w:tr>
      <w:tr w:rsidR="00AC369C" w:rsidRPr="00EE5DE5" w:rsidTr="00444F5B">
        <w:trPr>
          <w:trHeight w:val="1857"/>
          <w:jc w:val="center"/>
        </w:trPr>
        <w:tc>
          <w:tcPr>
            <w:tcW w:w="10773" w:type="dxa"/>
            <w:tcBorders>
              <w:top w:val="nil"/>
              <w:bottom w:val="nil"/>
            </w:tcBorders>
            <w:shd w:val="clear" w:color="auto" w:fill="FFFFFF"/>
            <w:vAlign w:val="center"/>
          </w:tcPr>
          <w:p w:rsidR="00AC369C" w:rsidRDefault="00AC369C" w:rsidP="00444F5B">
            <w:pPr>
              <w:rPr>
                <w:rFonts w:ascii="Arial" w:hAnsi="Arial" w:cs="Arial"/>
                <w:color w:val="6C6361"/>
                <w:sz w:val="24"/>
                <w:szCs w:val="24"/>
              </w:rPr>
            </w:pPr>
            <w:r w:rsidRPr="00EE5DE5">
              <w:rPr>
                <w:rFonts w:ascii="Arial" w:hAnsi="Arial" w:cs="Arial"/>
                <w:color w:val="6C6361"/>
                <w:sz w:val="24"/>
                <w:szCs w:val="24"/>
              </w:rPr>
              <w:t xml:space="preserve">This dynamic course is designed to equip the participants with practical tips and effective methods on cross-examination, </w:t>
            </w:r>
            <w:r>
              <w:rPr>
                <w:rFonts w:ascii="Arial" w:hAnsi="Arial" w:cs="Arial"/>
                <w:color w:val="6C6361"/>
                <w:sz w:val="24"/>
                <w:szCs w:val="24"/>
              </w:rPr>
              <w:t>do not miss this</w:t>
            </w:r>
            <w:r w:rsidRPr="00EE5DE5">
              <w:rPr>
                <w:rFonts w:ascii="Arial" w:hAnsi="Arial" w:cs="Arial"/>
                <w:color w:val="6C6361"/>
                <w:sz w:val="24"/>
                <w:szCs w:val="24"/>
              </w:rPr>
              <w:t xml:space="preserve"> rare opportunity to benefit</w:t>
            </w:r>
            <w:r>
              <w:rPr>
                <w:rFonts w:ascii="Arial" w:hAnsi="Arial" w:cs="Arial"/>
                <w:color w:val="6C6361"/>
                <w:sz w:val="24"/>
                <w:szCs w:val="24"/>
              </w:rPr>
              <w:t xml:space="preserve"> from</w:t>
            </w:r>
            <w:r w:rsidRPr="00EE5DE5">
              <w:rPr>
                <w:rFonts w:ascii="Arial" w:hAnsi="Arial" w:cs="Arial"/>
                <w:color w:val="6C6361"/>
                <w:sz w:val="24"/>
                <w:szCs w:val="24"/>
              </w:rPr>
              <w:t xml:space="preserve"> </w:t>
            </w:r>
            <w:r>
              <w:rPr>
                <w:rFonts w:ascii="Arial" w:hAnsi="Arial" w:cs="Arial"/>
                <w:color w:val="6C6361"/>
                <w:sz w:val="24"/>
                <w:szCs w:val="24"/>
              </w:rPr>
              <w:t>the experience and knowledge of</w:t>
            </w:r>
            <w:r w:rsidRPr="00EE5DE5">
              <w:rPr>
                <w:rFonts w:ascii="Arial" w:hAnsi="Arial" w:cs="Arial"/>
                <w:color w:val="6C6361"/>
                <w:sz w:val="24"/>
                <w:szCs w:val="24"/>
              </w:rPr>
              <w:t xml:space="preserve"> </w:t>
            </w:r>
            <w:r w:rsidRPr="00655D10">
              <w:rPr>
                <w:rFonts w:ascii="Arial" w:hAnsi="Arial" w:cs="Arial"/>
                <w:b/>
                <w:color w:val="6C6361"/>
                <w:sz w:val="24"/>
                <w:szCs w:val="24"/>
              </w:rPr>
              <w:t>Mr. Clive Grossman, Q.C., S.C</w:t>
            </w:r>
            <w:r w:rsidRPr="00EE5DE5">
              <w:rPr>
                <w:rFonts w:ascii="Arial" w:hAnsi="Arial" w:cs="Arial"/>
                <w:color w:val="6C6361"/>
                <w:sz w:val="24"/>
                <w:szCs w:val="24"/>
              </w:rPr>
              <w:t>. and his team of trial</w:t>
            </w:r>
            <w:r>
              <w:rPr>
                <w:rFonts w:ascii="Arial" w:hAnsi="Arial" w:cs="Arial"/>
                <w:color w:val="6C6361"/>
                <w:sz w:val="24"/>
                <w:szCs w:val="24"/>
              </w:rPr>
              <w:t xml:space="preserve"> advocates</w:t>
            </w:r>
            <w:r w:rsidRPr="00EE5DE5">
              <w:rPr>
                <w:rFonts w:ascii="Arial" w:hAnsi="Arial" w:cs="Arial"/>
                <w:color w:val="6C6361"/>
                <w:sz w:val="24"/>
                <w:szCs w:val="24"/>
              </w:rPr>
              <w:t xml:space="preserve"> from </w:t>
            </w:r>
            <w:r w:rsidRPr="00655D10">
              <w:rPr>
                <w:rFonts w:ascii="Arial" w:hAnsi="Arial" w:cs="Arial"/>
                <w:b/>
                <w:color w:val="6C6361"/>
                <w:sz w:val="24"/>
                <w:szCs w:val="24"/>
              </w:rPr>
              <w:t>Parkside Chambers</w:t>
            </w:r>
            <w:r w:rsidRPr="00EE5DE5">
              <w:rPr>
                <w:rFonts w:ascii="Arial" w:hAnsi="Arial" w:cs="Arial"/>
                <w:color w:val="6C6361"/>
                <w:sz w:val="24"/>
                <w:szCs w:val="24"/>
              </w:rPr>
              <w:t>.</w:t>
            </w:r>
          </w:p>
          <w:p w:rsidR="00AC369C" w:rsidRPr="00522F50" w:rsidRDefault="00AC369C" w:rsidP="00444F5B">
            <w:pPr>
              <w:rPr>
                <w:rFonts w:ascii="Arial" w:hAnsi="Arial" w:cs="Arial"/>
                <w:color w:val="6C6361"/>
                <w:sz w:val="16"/>
                <w:szCs w:val="16"/>
              </w:rPr>
            </w:pPr>
          </w:p>
          <w:p w:rsidR="00AC369C" w:rsidRPr="00522F50" w:rsidRDefault="00AC369C" w:rsidP="00444F5B">
            <w:pPr>
              <w:rPr>
                <w:rFonts w:ascii="Arial" w:hAnsi="Arial" w:cs="Arial"/>
                <w:b/>
                <w:color w:val="6C6361"/>
                <w:sz w:val="24"/>
                <w:szCs w:val="24"/>
              </w:rPr>
            </w:pPr>
            <w:r>
              <w:rPr>
                <w:rFonts w:ascii="Arial" w:hAnsi="Arial" w:cs="Arial"/>
                <w:color w:val="6C6361"/>
                <w:sz w:val="24"/>
                <w:szCs w:val="24"/>
              </w:rPr>
              <w:t xml:space="preserve">At the end of the course, </w:t>
            </w:r>
            <w:r w:rsidRPr="00EE5DE5">
              <w:rPr>
                <w:rFonts w:ascii="Arial" w:hAnsi="Arial" w:cs="Arial"/>
                <w:color w:val="6C6361"/>
                <w:sz w:val="24"/>
                <w:szCs w:val="24"/>
              </w:rPr>
              <w:t>participants</w:t>
            </w:r>
            <w:r>
              <w:rPr>
                <w:rFonts w:ascii="Arial" w:hAnsi="Arial" w:cs="Arial"/>
                <w:color w:val="6C6361"/>
                <w:sz w:val="24"/>
                <w:szCs w:val="24"/>
              </w:rPr>
              <w:t xml:space="preserve"> should be able to understand cross-examination in greater details and to </w:t>
            </w:r>
            <w:r w:rsidRPr="00013C8A">
              <w:rPr>
                <w:rFonts w:ascii="Arial" w:hAnsi="Arial" w:cs="Arial"/>
                <w:color w:val="6C6361"/>
                <w:sz w:val="24"/>
                <w:szCs w:val="24"/>
              </w:rPr>
              <w:t>grasp</w:t>
            </w:r>
            <w:r>
              <w:rPr>
                <w:rFonts w:ascii="Arial" w:hAnsi="Arial" w:cs="Arial"/>
                <w:color w:val="6C6361"/>
                <w:sz w:val="24"/>
                <w:szCs w:val="24"/>
              </w:rPr>
              <w:t xml:space="preserve"> and improve his/her cross-examinational skills.</w:t>
            </w:r>
          </w:p>
        </w:tc>
      </w:tr>
    </w:tbl>
    <w:p w:rsidR="00AC369C" w:rsidRDefault="00AC369C" w:rsidP="00AC369C">
      <w:pPr>
        <w:spacing w:line="276" w:lineRule="auto"/>
        <w:jc w:val="left"/>
        <w:rPr>
          <w:rFonts w:ascii="Arial" w:hAnsi="Arial" w:cs="Arial"/>
          <w:sz w:val="20"/>
          <w:szCs w:val="20"/>
        </w:rPr>
      </w:pPr>
    </w:p>
    <w:p w:rsidR="00AC369C" w:rsidRDefault="00AC369C" w:rsidP="00AC369C">
      <w:pPr>
        <w:spacing w:line="276" w:lineRule="auto"/>
        <w:jc w:val="left"/>
        <w:rPr>
          <w:rFonts w:ascii="Arial" w:hAnsi="Arial" w:cs="Arial"/>
          <w:sz w:val="20"/>
          <w:szCs w:val="20"/>
        </w:rPr>
      </w:pPr>
    </w:p>
    <w:p w:rsidR="00AC369C" w:rsidRDefault="00AC369C" w:rsidP="00AC369C">
      <w:pPr>
        <w:spacing w:line="276" w:lineRule="auto"/>
        <w:jc w:val="left"/>
        <w:rPr>
          <w:rFonts w:ascii="Arial" w:hAnsi="Arial" w:cs="Arial"/>
          <w:sz w:val="20"/>
          <w:szCs w:val="20"/>
        </w:rPr>
      </w:pPr>
    </w:p>
    <w:p w:rsidR="00AC369C" w:rsidRDefault="00AC369C" w:rsidP="00AC369C">
      <w:pPr>
        <w:spacing w:line="276" w:lineRule="auto"/>
        <w:jc w:val="left"/>
        <w:rPr>
          <w:rFonts w:ascii="Arial" w:hAnsi="Arial" w:cs="Arial"/>
          <w:sz w:val="20"/>
          <w:szCs w:val="20"/>
        </w:rPr>
      </w:pPr>
    </w:p>
    <w:p w:rsidR="00AC369C" w:rsidRPr="00AC369C" w:rsidRDefault="00AC369C" w:rsidP="00AC369C">
      <w:pPr>
        <w:spacing w:line="276" w:lineRule="auto"/>
        <w:jc w:val="left"/>
        <w:rPr>
          <w:rFonts w:ascii="Arial" w:hAnsi="Arial" w:cs="Arial"/>
          <w:sz w:val="2"/>
          <w:szCs w:val="2"/>
        </w:rPr>
      </w:pPr>
    </w:p>
    <w:tbl>
      <w:tblPr>
        <w:tblW w:w="10773" w:type="dxa"/>
        <w:jc w:val="center"/>
        <w:tblBorders>
          <w:bottom w:val="single" w:sz="12" w:space="0" w:color="FFFFFF"/>
        </w:tblBorders>
        <w:tblLook w:val="04A0" w:firstRow="1" w:lastRow="0" w:firstColumn="1" w:lastColumn="0" w:noHBand="0" w:noVBand="1"/>
      </w:tblPr>
      <w:tblGrid>
        <w:gridCol w:w="10773"/>
      </w:tblGrid>
      <w:tr w:rsidR="00AC369C" w:rsidRPr="00EE5DE5" w:rsidTr="00444F5B">
        <w:trPr>
          <w:trHeight w:val="454"/>
          <w:jc w:val="center"/>
        </w:trPr>
        <w:tc>
          <w:tcPr>
            <w:tcW w:w="10773" w:type="dxa"/>
            <w:tcBorders>
              <w:top w:val="nil"/>
              <w:bottom w:val="nil"/>
            </w:tcBorders>
            <w:shd w:val="clear" w:color="auto" w:fill="F0EBE1"/>
            <w:vAlign w:val="center"/>
          </w:tcPr>
          <w:p w:rsidR="00AC369C" w:rsidRPr="00EE5DE5" w:rsidRDefault="00AC369C" w:rsidP="00444F5B">
            <w:pPr>
              <w:rPr>
                <w:rFonts w:ascii="Arial" w:hAnsi="Arial" w:cs="Arial"/>
                <w:b/>
                <w:color w:val="524B48"/>
                <w:sz w:val="24"/>
                <w:szCs w:val="24"/>
                <w:u w:val="single"/>
              </w:rPr>
            </w:pPr>
            <w:r w:rsidRPr="00EE5DE5">
              <w:rPr>
                <w:rFonts w:ascii="Arial" w:hAnsi="Arial" w:cs="Arial"/>
                <w:b/>
                <w:color w:val="524B48"/>
                <w:sz w:val="24"/>
                <w:szCs w:val="24"/>
                <w:u w:val="single"/>
              </w:rPr>
              <w:lastRenderedPageBreak/>
              <w:t>Lecture on Cross-Examination</w:t>
            </w:r>
          </w:p>
        </w:tc>
      </w:tr>
      <w:tr w:rsidR="00AC369C" w:rsidRPr="00EE5DE5" w:rsidTr="00444F5B">
        <w:trPr>
          <w:trHeight w:val="3663"/>
          <w:jc w:val="center"/>
        </w:trPr>
        <w:tc>
          <w:tcPr>
            <w:tcW w:w="10773" w:type="dxa"/>
            <w:tcBorders>
              <w:top w:val="nil"/>
              <w:bottom w:val="nil"/>
            </w:tcBorders>
            <w:shd w:val="clear" w:color="auto" w:fill="FFFFFF"/>
            <w:vAlign w:val="center"/>
          </w:tcPr>
          <w:p w:rsidR="00AC369C" w:rsidRDefault="00AC369C" w:rsidP="00444F5B">
            <w:pPr>
              <w:rPr>
                <w:rFonts w:ascii="Arial" w:hAnsi="Arial" w:cs="Arial"/>
                <w:color w:val="6C6361"/>
                <w:sz w:val="24"/>
                <w:szCs w:val="24"/>
              </w:rPr>
            </w:pPr>
            <w:r w:rsidRPr="002232E6">
              <w:rPr>
                <w:rFonts w:ascii="Arial" w:hAnsi="Arial" w:cs="Arial"/>
                <w:color w:val="6C6361"/>
                <w:sz w:val="24"/>
                <w:szCs w:val="24"/>
              </w:rPr>
              <w:t xml:space="preserve">First half of the course features a lecture by renowned litigator and experienced presenter </w:t>
            </w:r>
            <w:r w:rsidRPr="00E50844">
              <w:rPr>
                <w:rFonts w:ascii="Arial" w:hAnsi="Arial" w:cs="Arial"/>
                <w:b/>
                <w:color w:val="6C6361"/>
                <w:sz w:val="24"/>
                <w:szCs w:val="24"/>
              </w:rPr>
              <w:t>Mr. Clive Grossman, Q.C., S.C.</w:t>
            </w:r>
            <w:r w:rsidRPr="002232E6">
              <w:rPr>
                <w:rFonts w:ascii="Arial" w:hAnsi="Arial" w:cs="Arial"/>
                <w:color w:val="6C6361"/>
                <w:sz w:val="24"/>
                <w:szCs w:val="24"/>
              </w:rPr>
              <w:t xml:space="preserve">, </w:t>
            </w:r>
            <w:r>
              <w:rPr>
                <w:rFonts w:ascii="Arial" w:hAnsi="Arial" w:cs="Arial"/>
                <w:color w:val="6C6361"/>
                <w:sz w:val="24"/>
                <w:szCs w:val="24"/>
              </w:rPr>
              <w:t>who</w:t>
            </w:r>
            <w:r w:rsidRPr="002232E6">
              <w:rPr>
                <w:rFonts w:ascii="Arial" w:hAnsi="Arial" w:cs="Arial"/>
                <w:color w:val="6C6361"/>
                <w:sz w:val="24"/>
                <w:szCs w:val="24"/>
              </w:rPr>
              <w:t xml:space="preserve"> will guide the audience through the cross-examination process by providing instructive examples and tactical insights of the subject.</w:t>
            </w:r>
          </w:p>
          <w:p w:rsidR="00AC369C" w:rsidRPr="00522F50" w:rsidRDefault="00AC369C" w:rsidP="00444F5B">
            <w:pPr>
              <w:rPr>
                <w:rFonts w:ascii="Arial" w:hAnsi="Arial" w:cs="Arial"/>
                <w:color w:val="6C6361"/>
                <w:sz w:val="16"/>
                <w:szCs w:val="16"/>
              </w:rPr>
            </w:pPr>
          </w:p>
          <w:p w:rsidR="00AC369C" w:rsidRPr="002232E6" w:rsidRDefault="00AC369C" w:rsidP="00444F5B">
            <w:pPr>
              <w:rPr>
                <w:rFonts w:ascii="Arial" w:hAnsi="Arial" w:cs="Arial"/>
                <w:color w:val="6C6361"/>
                <w:sz w:val="24"/>
                <w:szCs w:val="24"/>
              </w:rPr>
            </w:pPr>
            <w:r w:rsidRPr="002232E6">
              <w:rPr>
                <w:rFonts w:ascii="Arial" w:hAnsi="Arial" w:cs="Arial"/>
                <w:color w:val="6C6361"/>
                <w:sz w:val="24"/>
                <w:szCs w:val="24"/>
              </w:rPr>
              <w:t>The lecture will cover the followings:</w:t>
            </w:r>
          </w:p>
          <w:p w:rsidR="00AC369C" w:rsidRPr="00522F50" w:rsidRDefault="00AC369C" w:rsidP="00444F5B">
            <w:pPr>
              <w:rPr>
                <w:rFonts w:ascii="Arial" w:hAnsi="Arial" w:cs="Arial"/>
                <w:b/>
                <w:color w:val="6C6361"/>
                <w:sz w:val="16"/>
                <w:szCs w:val="16"/>
              </w:rPr>
            </w:pPr>
          </w:p>
          <w:p w:rsidR="00AC369C" w:rsidRPr="006D4B12" w:rsidRDefault="00AC369C" w:rsidP="00444F5B">
            <w:pPr>
              <w:pStyle w:val="ListParagraph"/>
              <w:numPr>
                <w:ilvl w:val="0"/>
                <w:numId w:val="2"/>
              </w:numPr>
              <w:rPr>
                <w:rFonts w:ascii="Arial" w:hAnsi="Arial" w:cs="Arial"/>
                <w:color w:val="6C6361"/>
                <w:sz w:val="24"/>
                <w:szCs w:val="24"/>
              </w:rPr>
            </w:pPr>
            <w:r w:rsidRPr="006D4B12">
              <w:rPr>
                <w:rFonts w:ascii="Arial" w:hAnsi="Arial" w:cs="Arial"/>
                <w:color w:val="6C6361"/>
                <w:sz w:val="24"/>
                <w:szCs w:val="24"/>
              </w:rPr>
              <w:t>Objectives and Purposes of Cross-Examination</w:t>
            </w:r>
          </w:p>
          <w:p w:rsidR="00AC369C" w:rsidRPr="006D4B12" w:rsidRDefault="00AC369C" w:rsidP="00444F5B">
            <w:pPr>
              <w:pStyle w:val="ListParagraph"/>
              <w:numPr>
                <w:ilvl w:val="0"/>
                <w:numId w:val="2"/>
              </w:numPr>
              <w:rPr>
                <w:rFonts w:ascii="Arial" w:hAnsi="Arial" w:cs="Arial"/>
                <w:color w:val="6C6361"/>
                <w:sz w:val="24"/>
                <w:szCs w:val="24"/>
              </w:rPr>
            </w:pPr>
            <w:r w:rsidRPr="006D4B12">
              <w:rPr>
                <w:rFonts w:ascii="Arial" w:hAnsi="Arial" w:cs="Arial"/>
                <w:color w:val="6C6361"/>
                <w:sz w:val="24"/>
                <w:szCs w:val="24"/>
              </w:rPr>
              <w:t>Basic Methods of Cross-Examination</w:t>
            </w:r>
          </w:p>
          <w:p w:rsidR="00AC369C" w:rsidRPr="006D4B12" w:rsidRDefault="00AC369C" w:rsidP="00444F5B">
            <w:pPr>
              <w:pStyle w:val="ListParagraph"/>
              <w:numPr>
                <w:ilvl w:val="0"/>
                <w:numId w:val="2"/>
              </w:numPr>
              <w:rPr>
                <w:rFonts w:ascii="Arial" w:hAnsi="Arial" w:cs="Arial"/>
                <w:color w:val="6C6361"/>
                <w:sz w:val="24"/>
                <w:szCs w:val="24"/>
              </w:rPr>
            </w:pPr>
            <w:r w:rsidRPr="006D4B12">
              <w:rPr>
                <w:rFonts w:ascii="Arial" w:hAnsi="Arial" w:cs="Arial"/>
                <w:color w:val="6C6361"/>
                <w:sz w:val="24"/>
                <w:szCs w:val="24"/>
              </w:rPr>
              <w:t>Cautionary Rules</w:t>
            </w:r>
          </w:p>
          <w:p w:rsidR="00AC369C" w:rsidRPr="006D4B12" w:rsidRDefault="00AC369C" w:rsidP="00444F5B">
            <w:pPr>
              <w:pStyle w:val="ListParagraph"/>
              <w:numPr>
                <w:ilvl w:val="0"/>
                <w:numId w:val="2"/>
              </w:numPr>
              <w:rPr>
                <w:rFonts w:ascii="Arial" w:hAnsi="Arial" w:cs="Arial"/>
                <w:color w:val="6C6361"/>
                <w:sz w:val="24"/>
                <w:szCs w:val="24"/>
              </w:rPr>
            </w:pPr>
            <w:r w:rsidRPr="006D4B12">
              <w:rPr>
                <w:rFonts w:ascii="Arial" w:hAnsi="Arial" w:cs="Arial"/>
                <w:color w:val="6C6361"/>
                <w:sz w:val="24"/>
                <w:szCs w:val="24"/>
              </w:rPr>
              <w:t>Practical Aspects</w:t>
            </w:r>
          </w:p>
          <w:p w:rsidR="00AC369C" w:rsidRPr="006D4B12" w:rsidRDefault="00AC369C" w:rsidP="00444F5B">
            <w:pPr>
              <w:pStyle w:val="ListParagraph"/>
              <w:numPr>
                <w:ilvl w:val="0"/>
                <w:numId w:val="2"/>
              </w:numPr>
              <w:rPr>
                <w:rFonts w:ascii="Arial" w:hAnsi="Arial" w:cs="Arial"/>
                <w:color w:val="6C6361"/>
                <w:sz w:val="24"/>
                <w:szCs w:val="24"/>
              </w:rPr>
            </w:pPr>
            <w:r w:rsidRPr="006D4B12">
              <w:rPr>
                <w:rFonts w:ascii="Arial" w:hAnsi="Arial" w:cs="Arial"/>
                <w:color w:val="6C6361"/>
                <w:sz w:val="24"/>
                <w:szCs w:val="24"/>
              </w:rPr>
              <w:t>The Cross-Examiner at Work</w:t>
            </w:r>
          </w:p>
          <w:p w:rsidR="00AC369C" w:rsidRPr="006D4B12" w:rsidRDefault="00AC369C" w:rsidP="00444F5B">
            <w:pPr>
              <w:pStyle w:val="ListParagraph"/>
              <w:numPr>
                <w:ilvl w:val="0"/>
                <w:numId w:val="2"/>
              </w:numPr>
              <w:rPr>
                <w:rFonts w:ascii="Arial" w:hAnsi="Arial" w:cs="Arial"/>
                <w:color w:val="6C6361"/>
                <w:sz w:val="24"/>
                <w:szCs w:val="24"/>
              </w:rPr>
            </w:pPr>
            <w:r w:rsidRPr="006D4B12">
              <w:rPr>
                <w:rFonts w:ascii="Arial" w:hAnsi="Arial" w:cs="Arial"/>
                <w:color w:val="6C6361"/>
                <w:sz w:val="24"/>
                <w:szCs w:val="24"/>
              </w:rPr>
              <w:t>Expert Witnesses</w:t>
            </w:r>
          </w:p>
          <w:p w:rsidR="00AC369C" w:rsidRPr="00EE5DE5" w:rsidRDefault="00AC369C" w:rsidP="00444F5B">
            <w:pPr>
              <w:pStyle w:val="ListParagraph"/>
              <w:numPr>
                <w:ilvl w:val="0"/>
                <w:numId w:val="2"/>
              </w:numPr>
              <w:rPr>
                <w:rFonts w:ascii="Arial" w:hAnsi="Arial" w:cs="Arial"/>
                <w:b/>
                <w:color w:val="6C6361"/>
                <w:sz w:val="24"/>
                <w:szCs w:val="24"/>
              </w:rPr>
            </w:pPr>
            <w:r w:rsidRPr="006D4B12">
              <w:rPr>
                <w:rFonts w:ascii="Arial" w:hAnsi="Arial" w:cs="Arial"/>
                <w:color w:val="6C6361"/>
                <w:sz w:val="24"/>
                <w:szCs w:val="24"/>
              </w:rPr>
              <w:t>Errors in Cross-Examination</w:t>
            </w:r>
          </w:p>
        </w:tc>
      </w:tr>
      <w:tr w:rsidR="00AC369C" w:rsidRPr="00EE5DE5" w:rsidTr="00444F5B">
        <w:trPr>
          <w:trHeight w:val="454"/>
          <w:jc w:val="center"/>
        </w:trPr>
        <w:tc>
          <w:tcPr>
            <w:tcW w:w="10773" w:type="dxa"/>
            <w:tcBorders>
              <w:top w:val="nil"/>
              <w:bottom w:val="nil"/>
            </w:tcBorders>
            <w:shd w:val="clear" w:color="auto" w:fill="F0EBE1"/>
            <w:vAlign w:val="center"/>
          </w:tcPr>
          <w:p w:rsidR="00AC369C" w:rsidRPr="00EE5DE5" w:rsidRDefault="00AC369C" w:rsidP="00444F5B">
            <w:pPr>
              <w:rPr>
                <w:rFonts w:ascii="Arial" w:hAnsi="Arial" w:cs="Arial"/>
                <w:b/>
                <w:color w:val="524B48"/>
                <w:sz w:val="24"/>
                <w:szCs w:val="24"/>
                <w:u w:val="single"/>
              </w:rPr>
            </w:pPr>
            <w:r w:rsidRPr="00EE5DE5">
              <w:rPr>
                <w:rFonts w:ascii="Arial" w:hAnsi="Arial" w:cs="Arial"/>
                <w:b/>
                <w:color w:val="524B48"/>
                <w:sz w:val="24"/>
                <w:szCs w:val="24"/>
                <w:u w:val="single"/>
              </w:rPr>
              <w:t>Workshop on Cross-Examination</w:t>
            </w:r>
          </w:p>
        </w:tc>
      </w:tr>
      <w:tr w:rsidR="00AC369C" w:rsidRPr="00EE5DE5" w:rsidTr="00444F5B">
        <w:trPr>
          <w:trHeight w:val="5557"/>
          <w:jc w:val="center"/>
        </w:trPr>
        <w:tc>
          <w:tcPr>
            <w:tcW w:w="10773" w:type="dxa"/>
            <w:tcBorders>
              <w:top w:val="nil"/>
              <w:bottom w:val="nil"/>
            </w:tcBorders>
            <w:shd w:val="clear" w:color="auto" w:fill="FFFFFF"/>
            <w:vAlign w:val="center"/>
          </w:tcPr>
          <w:p w:rsidR="00AC369C" w:rsidRDefault="00AC369C" w:rsidP="00444F5B">
            <w:pPr>
              <w:rPr>
                <w:rFonts w:ascii="Arial" w:hAnsi="Arial" w:cs="Arial"/>
                <w:color w:val="6C6361"/>
                <w:sz w:val="24"/>
                <w:szCs w:val="24"/>
              </w:rPr>
            </w:pPr>
            <w:r w:rsidRPr="00EE5DE5">
              <w:rPr>
                <w:rFonts w:ascii="Arial" w:hAnsi="Arial" w:cs="Arial"/>
                <w:color w:val="6C6361"/>
                <w:sz w:val="24"/>
                <w:szCs w:val="24"/>
              </w:rPr>
              <w:t xml:space="preserve">The course is then followed by an interactive workshop, inviting the audience to participate in </w:t>
            </w:r>
            <w:proofErr w:type="gramStart"/>
            <w:r w:rsidRPr="00EE5DE5">
              <w:rPr>
                <w:rFonts w:ascii="Arial" w:hAnsi="Arial" w:cs="Arial"/>
                <w:color w:val="6C6361"/>
                <w:sz w:val="24"/>
                <w:szCs w:val="24"/>
              </w:rPr>
              <w:t>an</w:t>
            </w:r>
            <w:proofErr w:type="gramEnd"/>
            <w:r w:rsidRPr="00EE5DE5">
              <w:rPr>
                <w:rFonts w:ascii="Arial" w:hAnsi="Arial" w:cs="Arial"/>
                <w:color w:val="6C6361"/>
                <w:sz w:val="24"/>
                <w:szCs w:val="24"/>
              </w:rPr>
              <w:t xml:space="preserve"> cross-examination role-play exercise.  Trial </w:t>
            </w:r>
            <w:r>
              <w:rPr>
                <w:rFonts w:ascii="Arial" w:hAnsi="Arial" w:cs="Arial"/>
                <w:color w:val="6C6361"/>
                <w:sz w:val="24"/>
                <w:szCs w:val="24"/>
              </w:rPr>
              <w:t>advocates</w:t>
            </w:r>
            <w:r w:rsidRPr="00EE5DE5">
              <w:rPr>
                <w:rFonts w:ascii="Arial" w:hAnsi="Arial" w:cs="Arial"/>
                <w:color w:val="6C6361"/>
                <w:sz w:val="24"/>
                <w:szCs w:val="24"/>
              </w:rPr>
              <w:t xml:space="preserve"> from </w:t>
            </w:r>
            <w:r w:rsidRPr="00E50844">
              <w:rPr>
                <w:rFonts w:ascii="Arial" w:hAnsi="Arial" w:cs="Arial"/>
                <w:b/>
                <w:color w:val="6C6361"/>
                <w:sz w:val="24"/>
                <w:szCs w:val="24"/>
              </w:rPr>
              <w:t>Parkside Chambers</w:t>
            </w:r>
            <w:r w:rsidRPr="00EE5DE5">
              <w:rPr>
                <w:rFonts w:ascii="Arial" w:hAnsi="Arial" w:cs="Arial"/>
                <w:color w:val="6C6361"/>
                <w:sz w:val="24"/>
                <w:szCs w:val="24"/>
              </w:rPr>
              <w:t xml:space="preserve"> will act as witnesses and the participants will be able to apply the learnt techniques from the first session straight away</w:t>
            </w:r>
            <w:r>
              <w:rPr>
                <w:rFonts w:ascii="Arial" w:hAnsi="Arial" w:cs="Arial"/>
                <w:color w:val="6C6361"/>
                <w:sz w:val="24"/>
                <w:szCs w:val="24"/>
              </w:rPr>
              <w:t>,</w:t>
            </w:r>
            <w:r w:rsidRPr="00EE5DE5">
              <w:rPr>
                <w:rFonts w:ascii="Arial" w:hAnsi="Arial" w:cs="Arial"/>
                <w:color w:val="6C6361"/>
                <w:sz w:val="24"/>
                <w:szCs w:val="24"/>
              </w:rPr>
              <w:t xml:space="preserve"> to cross-examine them based on a criminal case scenario.  Throughout the workshop, </w:t>
            </w:r>
            <w:r w:rsidRPr="00E50844">
              <w:rPr>
                <w:rFonts w:ascii="Arial" w:hAnsi="Arial" w:cs="Arial"/>
                <w:b/>
                <w:color w:val="6C6361"/>
                <w:sz w:val="24"/>
                <w:szCs w:val="24"/>
              </w:rPr>
              <w:t>Mr. Grossman</w:t>
            </w:r>
            <w:r w:rsidRPr="00EE5DE5">
              <w:rPr>
                <w:rFonts w:ascii="Arial" w:hAnsi="Arial" w:cs="Arial"/>
                <w:color w:val="6C6361"/>
                <w:sz w:val="24"/>
                <w:szCs w:val="24"/>
              </w:rPr>
              <w:t xml:space="preserve"> will comment and share his experience</w:t>
            </w:r>
            <w:r>
              <w:rPr>
                <w:rFonts w:ascii="Arial" w:hAnsi="Arial" w:cs="Arial"/>
                <w:color w:val="6C6361"/>
                <w:sz w:val="24"/>
                <w:szCs w:val="24"/>
              </w:rPr>
              <w:t xml:space="preserve"> and </w:t>
            </w:r>
            <w:r w:rsidRPr="00C47139">
              <w:rPr>
                <w:rFonts w:ascii="Arial" w:hAnsi="Arial" w:cs="Arial"/>
                <w:color w:val="6C6361"/>
                <w:sz w:val="24"/>
                <w:szCs w:val="24"/>
              </w:rPr>
              <w:t xml:space="preserve">expertise </w:t>
            </w:r>
            <w:r>
              <w:rPr>
                <w:rFonts w:ascii="Arial" w:hAnsi="Arial" w:cs="Arial"/>
                <w:color w:val="6C6361"/>
                <w:sz w:val="24"/>
                <w:szCs w:val="24"/>
              </w:rPr>
              <w:t>in cross-examination</w:t>
            </w:r>
            <w:r w:rsidRPr="00EE5DE5">
              <w:rPr>
                <w:rFonts w:ascii="Arial" w:hAnsi="Arial" w:cs="Arial"/>
                <w:color w:val="6C6361"/>
                <w:sz w:val="24"/>
                <w:szCs w:val="24"/>
              </w:rPr>
              <w:t xml:space="preserve"> with practical tips and suggestions which aims to improve the participants' skills.</w:t>
            </w:r>
          </w:p>
          <w:p w:rsidR="00AC369C" w:rsidRPr="00522F50" w:rsidRDefault="00AC369C" w:rsidP="00444F5B">
            <w:pPr>
              <w:rPr>
                <w:rFonts w:ascii="Arial" w:hAnsi="Arial" w:cs="Arial"/>
                <w:color w:val="6C6361"/>
                <w:sz w:val="16"/>
                <w:szCs w:val="16"/>
              </w:rPr>
            </w:pPr>
          </w:p>
          <w:p w:rsidR="00AC369C" w:rsidRDefault="00AC369C" w:rsidP="00444F5B">
            <w:pPr>
              <w:rPr>
                <w:rFonts w:ascii="Arial" w:hAnsi="Arial" w:cs="Arial"/>
                <w:color w:val="6C6361"/>
                <w:sz w:val="24"/>
                <w:szCs w:val="24"/>
              </w:rPr>
            </w:pPr>
            <w:r w:rsidRPr="00EE5DE5">
              <w:rPr>
                <w:rFonts w:ascii="Arial" w:hAnsi="Arial" w:cs="Arial"/>
                <w:color w:val="6C6361"/>
                <w:sz w:val="24"/>
                <w:szCs w:val="24"/>
              </w:rPr>
              <w:t xml:space="preserve">The workshop will be based on an </w:t>
            </w:r>
            <w:r w:rsidRPr="00C2418C">
              <w:rPr>
                <w:rFonts w:ascii="Arial" w:hAnsi="Arial" w:cs="Arial"/>
                <w:color w:val="6C6361"/>
                <w:sz w:val="24"/>
                <w:szCs w:val="24"/>
              </w:rPr>
              <w:t>Assault Occasioning Actual Bodily Harm</w:t>
            </w:r>
            <w:r w:rsidRPr="00EE5DE5">
              <w:rPr>
                <w:rFonts w:ascii="Arial" w:hAnsi="Arial" w:cs="Arial"/>
                <w:color w:val="6C6361"/>
                <w:sz w:val="24"/>
                <w:szCs w:val="24"/>
              </w:rPr>
              <w:t xml:space="preserve"> (Cap.212 s.39) case scenario, those who successfully registered the course will receive a set of preparation </w:t>
            </w:r>
            <w:proofErr w:type="gramStart"/>
            <w:r w:rsidRPr="00EE5DE5">
              <w:rPr>
                <w:rFonts w:ascii="Arial" w:hAnsi="Arial" w:cs="Arial"/>
                <w:color w:val="6C6361"/>
                <w:sz w:val="24"/>
                <w:szCs w:val="24"/>
              </w:rPr>
              <w:t>materials,  which</w:t>
            </w:r>
            <w:proofErr w:type="gramEnd"/>
            <w:r w:rsidRPr="00EE5DE5">
              <w:rPr>
                <w:rFonts w:ascii="Arial" w:hAnsi="Arial" w:cs="Arial"/>
                <w:color w:val="6C6361"/>
                <w:sz w:val="24"/>
                <w:szCs w:val="24"/>
              </w:rPr>
              <w:t xml:space="preserve"> include the followings:</w:t>
            </w:r>
          </w:p>
          <w:p w:rsidR="00AC369C" w:rsidRPr="008D0270" w:rsidRDefault="00AC369C" w:rsidP="00444F5B">
            <w:pPr>
              <w:rPr>
                <w:rFonts w:ascii="Arial" w:hAnsi="Arial" w:cs="Arial"/>
                <w:color w:val="6C6361"/>
                <w:sz w:val="16"/>
                <w:szCs w:val="16"/>
              </w:rPr>
            </w:pPr>
          </w:p>
          <w:p w:rsidR="00AC369C" w:rsidRPr="002232E6" w:rsidRDefault="00AC369C" w:rsidP="00444F5B">
            <w:pPr>
              <w:pStyle w:val="ListParagraph"/>
              <w:numPr>
                <w:ilvl w:val="0"/>
                <w:numId w:val="2"/>
              </w:numPr>
              <w:rPr>
                <w:rFonts w:ascii="Arial" w:hAnsi="Arial" w:cs="Arial"/>
                <w:color w:val="6C6361"/>
                <w:sz w:val="24"/>
                <w:szCs w:val="24"/>
              </w:rPr>
            </w:pPr>
            <w:r w:rsidRPr="004446D2">
              <w:rPr>
                <w:rFonts w:ascii="Arial" w:hAnsi="Arial" w:cs="Arial"/>
                <w:noProof/>
                <w:color w:val="6C6361"/>
                <w:sz w:val="16"/>
                <w:szCs w:val="16"/>
                <w:lang w:val="en-HK"/>
              </w:rPr>
              <w:drawing>
                <wp:anchor distT="0" distB="0" distL="114300" distR="114300" simplePos="0" relativeHeight="251660288" behindDoc="0" locked="0" layoutInCell="1" allowOverlap="1" wp14:anchorId="4DE52F57" wp14:editId="6C56068D">
                  <wp:simplePos x="0" y="0"/>
                  <wp:positionH relativeFrom="column">
                    <wp:posOffset>5721350</wp:posOffset>
                  </wp:positionH>
                  <wp:positionV relativeFrom="paragraph">
                    <wp:posOffset>-635</wp:posOffset>
                  </wp:positionV>
                  <wp:extent cx="895985" cy="102235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985"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32E6">
              <w:rPr>
                <w:rFonts w:ascii="Arial" w:hAnsi="Arial" w:cs="Arial"/>
                <w:color w:val="6C6361"/>
                <w:sz w:val="24"/>
                <w:szCs w:val="24"/>
              </w:rPr>
              <w:t>Indictment</w:t>
            </w:r>
          </w:p>
          <w:p w:rsidR="00AC369C" w:rsidRPr="002232E6" w:rsidRDefault="00AC369C" w:rsidP="00444F5B">
            <w:pPr>
              <w:pStyle w:val="ListParagraph"/>
              <w:numPr>
                <w:ilvl w:val="0"/>
                <w:numId w:val="2"/>
              </w:numPr>
              <w:rPr>
                <w:rFonts w:ascii="Arial" w:hAnsi="Arial" w:cs="Arial"/>
                <w:color w:val="6C6361"/>
                <w:sz w:val="24"/>
                <w:szCs w:val="24"/>
              </w:rPr>
            </w:pPr>
            <w:r w:rsidRPr="002232E6">
              <w:rPr>
                <w:rFonts w:ascii="Arial" w:hAnsi="Arial" w:cs="Arial"/>
                <w:color w:val="6C6361"/>
                <w:sz w:val="24"/>
                <w:szCs w:val="24"/>
              </w:rPr>
              <w:t>Witness Statements</w:t>
            </w:r>
          </w:p>
          <w:p w:rsidR="00AC369C" w:rsidRPr="002232E6" w:rsidRDefault="00AC369C" w:rsidP="00444F5B">
            <w:pPr>
              <w:pStyle w:val="ListParagraph"/>
              <w:numPr>
                <w:ilvl w:val="0"/>
                <w:numId w:val="2"/>
              </w:numPr>
              <w:rPr>
                <w:rFonts w:ascii="Arial" w:hAnsi="Arial" w:cs="Arial"/>
                <w:color w:val="6C6361"/>
                <w:sz w:val="24"/>
                <w:szCs w:val="24"/>
              </w:rPr>
            </w:pPr>
            <w:r w:rsidRPr="002232E6">
              <w:rPr>
                <w:rFonts w:ascii="Arial" w:hAnsi="Arial" w:cs="Arial"/>
                <w:color w:val="6C6361"/>
                <w:sz w:val="24"/>
                <w:szCs w:val="24"/>
              </w:rPr>
              <w:t>Exhibit List</w:t>
            </w:r>
          </w:p>
          <w:p w:rsidR="00AC369C" w:rsidRPr="002232E6" w:rsidRDefault="00AC369C" w:rsidP="00444F5B">
            <w:pPr>
              <w:pStyle w:val="ListParagraph"/>
              <w:numPr>
                <w:ilvl w:val="0"/>
                <w:numId w:val="2"/>
              </w:numPr>
              <w:rPr>
                <w:rFonts w:ascii="Arial" w:hAnsi="Arial" w:cs="Arial"/>
                <w:color w:val="6C6361"/>
                <w:sz w:val="24"/>
                <w:szCs w:val="24"/>
              </w:rPr>
            </w:pPr>
            <w:r w:rsidRPr="002232E6">
              <w:rPr>
                <w:rFonts w:ascii="Arial" w:hAnsi="Arial" w:cs="Arial"/>
                <w:color w:val="6C6361"/>
                <w:sz w:val="24"/>
                <w:szCs w:val="24"/>
              </w:rPr>
              <w:t>Record of Interview with the Defendant at the Police Station</w:t>
            </w:r>
          </w:p>
          <w:p w:rsidR="00AC369C" w:rsidRDefault="00AC369C" w:rsidP="00444F5B">
            <w:pPr>
              <w:pStyle w:val="ListParagraph"/>
              <w:numPr>
                <w:ilvl w:val="0"/>
                <w:numId w:val="2"/>
              </w:numPr>
              <w:rPr>
                <w:rFonts w:ascii="Arial" w:hAnsi="Arial" w:cs="Arial"/>
                <w:color w:val="6C6361"/>
                <w:sz w:val="24"/>
                <w:szCs w:val="24"/>
              </w:rPr>
            </w:pPr>
            <w:r w:rsidRPr="002232E6">
              <w:rPr>
                <w:rFonts w:ascii="Arial" w:hAnsi="Arial" w:cs="Arial"/>
                <w:color w:val="6C6361"/>
                <w:sz w:val="24"/>
                <w:szCs w:val="24"/>
              </w:rPr>
              <w:t>List of Previous Convictions</w:t>
            </w:r>
          </w:p>
          <w:p w:rsidR="00AC369C" w:rsidRPr="008D0270" w:rsidRDefault="00AC369C" w:rsidP="00444F5B">
            <w:pPr>
              <w:pStyle w:val="ListParagraph"/>
              <w:numPr>
                <w:ilvl w:val="0"/>
                <w:numId w:val="2"/>
              </w:numPr>
              <w:rPr>
                <w:rFonts w:ascii="Arial" w:hAnsi="Arial" w:cs="Arial"/>
                <w:color w:val="6C6361"/>
                <w:sz w:val="24"/>
                <w:szCs w:val="24"/>
              </w:rPr>
            </w:pPr>
            <w:proofErr w:type="spellStart"/>
            <w:r w:rsidRPr="008D0270">
              <w:rPr>
                <w:rFonts w:ascii="Arial" w:hAnsi="Arial" w:cs="Arial"/>
                <w:color w:val="6C6361"/>
                <w:sz w:val="24"/>
                <w:szCs w:val="24"/>
              </w:rPr>
              <w:t>Defence</w:t>
            </w:r>
            <w:proofErr w:type="spellEnd"/>
            <w:r w:rsidRPr="008D0270">
              <w:rPr>
                <w:rFonts w:ascii="Arial" w:hAnsi="Arial" w:cs="Arial"/>
                <w:color w:val="6C6361"/>
                <w:sz w:val="24"/>
                <w:szCs w:val="24"/>
              </w:rPr>
              <w:t xml:space="preserve"> Statement</w:t>
            </w:r>
          </w:p>
          <w:p w:rsidR="00AC369C" w:rsidRPr="008D0270" w:rsidRDefault="00AC369C" w:rsidP="00444F5B">
            <w:pPr>
              <w:rPr>
                <w:rFonts w:ascii="Arial" w:hAnsi="Arial" w:cs="Arial"/>
                <w:color w:val="6C6361"/>
                <w:sz w:val="16"/>
                <w:szCs w:val="16"/>
              </w:rPr>
            </w:pPr>
          </w:p>
          <w:p w:rsidR="00AC369C" w:rsidRPr="00EE5DE5" w:rsidRDefault="00AC369C" w:rsidP="00444F5B">
            <w:pPr>
              <w:rPr>
                <w:rFonts w:ascii="Arial" w:hAnsi="Arial" w:cs="Arial"/>
                <w:color w:val="6C6361"/>
                <w:sz w:val="24"/>
                <w:szCs w:val="24"/>
              </w:rPr>
            </w:pPr>
            <w:r w:rsidRPr="00EE5DE5">
              <w:rPr>
                <w:rFonts w:ascii="Arial" w:hAnsi="Arial" w:cs="Arial"/>
                <w:noProof/>
                <w:color w:val="6C6361"/>
                <w:sz w:val="24"/>
                <w:szCs w:val="24"/>
              </w:rPr>
              <w:t>We encourage all participants to read and study the materials thoroughly and pre</w:t>
            </w:r>
            <w:r>
              <w:rPr>
                <w:rFonts w:ascii="Arial" w:hAnsi="Arial" w:cs="Arial"/>
                <w:noProof/>
                <w:color w:val="6C6361"/>
                <w:sz w:val="24"/>
                <w:szCs w:val="24"/>
              </w:rPr>
              <w:t>pare for the workshop, as he/</w:t>
            </w:r>
            <w:r w:rsidRPr="00EE5DE5">
              <w:rPr>
                <w:rFonts w:ascii="Arial" w:hAnsi="Arial" w:cs="Arial"/>
                <w:noProof/>
                <w:color w:val="6C6361"/>
                <w:sz w:val="24"/>
                <w:szCs w:val="24"/>
              </w:rPr>
              <w:t>she may be required to undertake the cross-examination role-play exercise.</w:t>
            </w:r>
          </w:p>
        </w:tc>
      </w:tr>
    </w:tbl>
    <w:p w:rsidR="00AC369C" w:rsidRPr="008D0270" w:rsidRDefault="00AC369C" w:rsidP="00AC369C">
      <w:pPr>
        <w:spacing w:line="276" w:lineRule="auto"/>
        <w:jc w:val="left"/>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390"/>
        <w:gridCol w:w="1295"/>
      </w:tblGrid>
      <w:tr w:rsidR="00AC369C" w:rsidRPr="00320F79" w:rsidTr="00444F5B">
        <w:trPr>
          <w:trHeight w:val="397"/>
          <w:jc w:val="center"/>
        </w:trPr>
        <w:tc>
          <w:tcPr>
            <w:tcW w:w="1701" w:type="dxa"/>
            <w:tcBorders>
              <w:top w:val="nil"/>
              <w:left w:val="nil"/>
              <w:bottom w:val="single" w:sz="12" w:space="0" w:color="FFFFFF"/>
            </w:tcBorders>
            <w:shd w:val="clear" w:color="auto" w:fill="F0EBE1"/>
            <w:vAlign w:val="center"/>
          </w:tcPr>
          <w:p w:rsidR="00AC369C" w:rsidRPr="00320F79" w:rsidRDefault="00AC369C" w:rsidP="0044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AC369C" w:rsidRPr="00320F79" w:rsidRDefault="00AC369C" w:rsidP="0044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EVT000000120</w:t>
            </w:r>
          </w:p>
        </w:tc>
        <w:tc>
          <w:tcPr>
            <w:tcW w:w="1701" w:type="dxa"/>
            <w:tcBorders>
              <w:top w:val="nil"/>
              <w:bottom w:val="single" w:sz="12" w:space="0" w:color="FFFFFF"/>
            </w:tcBorders>
            <w:shd w:val="clear" w:color="auto" w:fill="F0EBE1"/>
            <w:vAlign w:val="center"/>
          </w:tcPr>
          <w:p w:rsidR="00AC369C" w:rsidRPr="00320F79" w:rsidRDefault="00AC369C" w:rsidP="0044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AC369C" w:rsidRPr="00320F79" w:rsidRDefault="00AC369C" w:rsidP="0044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AC369C" w:rsidRPr="00320F79" w:rsidTr="00444F5B">
        <w:trPr>
          <w:trHeight w:val="397"/>
          <w:jc w:val="center"/>
        </w:trPr>
        <w:tc>
          <w:tcPr>
            <w:tcW w:w="1701" w:type="dxa"/>
            <w:tcBorders>
              <w:top w:val="single" w:sz="12" w:space="0" w:color="FFFFFF"/>
              <w:left w:val="nil"/>
              <w:bottom w:val="single" w:sz="12" w:space="0" w:color="FFFFFF"/>
            </w:tcBorders>
            <w:shd w:val="clear" w:color="auto" w:fill="F0EBE1"/>
            <w:vAlign w:val="center"/>
          </w:tcPr>
          <w:p w:rsidR="00AC369C" w:rsidRPr="00320F79" w:rsidRDefault="00AC369C" w:rsidP="0044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AC369C" w:rsidRPr="00320F79" w:rsidRDefault="00AC369C" w:rsidP="0044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22 July</w:t>
            </w:r>
            <w:r w:rsidRPr="00320F79">
              <w:rPr>
                <w:rFonts w:ascii="Arial" w:hAnsi="Arial" w:cs="Arial"/>
                <w:b/>
                <w:color w:val="6C6361"/>
                <w:sz w:val="20"/>
                <w:szCs w:val="20"/>
              </w:rPr>
              <w:t xml:space="preserve"> 2015 (</w:t>
            </w:r>
            <w:r>
              <w:rPr>
                <w:rFonts w:ascii="Arial" w:hAnsi="Arial" w:cs="Arial"/>
                <w:b/>
                <w:color w:val="6C6361"/>
                <w:sz w:val="20"/>
                <w:szCs w:val="20"/>
              </w:rPr>
              <w:t>Friday</w:t>
            </w:r>
            <w:r w:rsidRPr="00320F79">
              <w:rPr>
                <w:rFonts w:ascii="Arial" w:hAnsi="Arial" w:cs="Arial"/>
                <w:b/>
                <w:color w:val="6C6361"/>
                <w:sz w:val="20"/>
                <w:szCs w:val="20"/>
              </w:rPr>
              <w:t>)</w:t>
            </w:r>
          </w:p>
        </w:tc>
        <w:tc>
          <w:tcPr>
            <w:tcW w:w="1701" w:type="dxa"/>
            <w:tcBorders>
              <w:top w:val="single" w:sz="12" w:space="0" w:color="FFFFFF"/>
              <w:bottom w:val="single" w:sz="12" w:space="0" w:color="FFFFFF"/>
            </w:tcBorders>
            <w:shd w:val="clear" w:color="auto" w:fill="F0EBE1"/>
            <w:vAlign w:val="center"/>
          </w:tcPr>
          <w:p w:rsidR="00AC369C" w:rsidRPr="00320F79" w:rsidRDefault="00AC369C" w:rsidP="0044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AC369C" w:rsidRPr="00320F79" w:rsidRDefault="00AC369C" w:rsidP="0044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AC369C" w:rsidRPr="00320F79" w:rsidTr="00444F5B">
        <w:trPr>
          <w:trHeight w:val="397"/>
          <w:jc w:val="center"/>
        </w:trPr>
        <w:tc>
          <w:tcPr>
            <w:tcW w:w="1701" w:type="dxa"/>
            <w:tcBorders>
              <w:top w:val="single" w:sz="12" w:space="0" w:color="FFFFFF"/>
              <w:left w:val="nil"/>
              <w:bottom w:val="single" w:sz="12" w:space="0" w:color="FFFFFF"/>
            </w:tcBorders>
            <w:shd w:val="clear" w:color="auto" w:fill="F0EBE1"/>
            <w:vAlign w:val="center"/>
          </w:tcPr>
          <w:p w:rsidR="00AC369C" w:rsidRPr="00320F79" w:rsidRDefault="00AC369C" w:rsidP="0044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AC369C" w:rsidRPr="00320F79" w:rsidRDefault="00AC369C" w:rsidP="0044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:30 - 1</w:t>
            </w:r>
            <w:r>
              <w:rPr>
                <w:rFonts w:ascii="Arial" w:hAnsi="Arial" w:cs="Arial"/>
                <w:b/>
                <w:color w:val="6C6361"/>
                <w:sz w:val="20"/>
                <w:szCs w:val="20"/>
              </w:rPr>
              <w:t>7</w:t>
            </w:r>
            <w:r w:rsidRPr="00320F79">
              <w:rPr>
                <w:rFonts w:ascii="Arial" w:hAnsi="Arial" w:cs="Arial"/>
                <w:b/>
                <w:color w:val="6C6361"/>
                <w:sz w:val="20"/>
                <w:szCs w:val="20"/>
              </w:rPr>
              <w:t>:45</w:t>
            </w:r>
          </w:p>
          <w:p w:rsidR="00AC369C" w:rsidRPr="00320F79" w:rsidRDefault="00AC369C" w:rsidP="0044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AC369C" w:rsidRPr="00320F79" w:rsidRDefault="00AC369C" w:rsidP="0044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AC369C" w:rsidRDefault="00AC369C" w:rsidP="0044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 xml:space="preserve">LSHK 3.5 </w:t>
            </w:r>
            <w:r w:rsidRPr="00320F79">
              <w:rPr>
                <w:rFonts w:ascii="Arial" w:hAnsi="Arial" w:cs="Arial"/>
                <w:b/>
                <w:color w:val="6C6361"/>
                <w:sz w:val="20"/>
                <w:szCs w:val="20"/>
              </w:rPr>
              <w:t>CPD Points</w:t>
            </w:r>
          </w:p>
          <w:p w:rsidR="00AC369C" w:rsidRPr="008A60A4" w:rsidRDefault="00AC369C" w:rsidP="0044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8A60A4">
              <w:rPr>
                <w:rFonts w:ascii="Arial" w:hAnsi="Arial" w:cs="Arial"/>
                <w:color w:val="6C6361"/>
                <w:sz w:val="20"/>
                <w:szCs w:val="20"/>
              </w:rPr>
              <w:t>(LSHK Allocated Number: 20160861)</w:t>
            </w:r>
          </w:p>
        </w:tc>
      </w:tr>
      <w:tr w:rsidR="00AC369C" w:rsidRPr="00320F79" w:rsidTr="00444F5B">
        <w:trPr>
          <w:trHeight w:val="1247"/>
          <w:jc w:val="center"/>
        </w:trPr>
        <w:tc>
          <w:tcPr>
            <w:tcW w:w="1701" w:type="dxa"/>
            <w:tcBorders>
              <w:top w:val="single" w:sz="12" w:space="0" w:color="FFFFFF"/>
              <w:left w:val="nil"/>
              <w:bottom w:val="nil"/>
            </w:tcBorders>
            <w:shd w:val="clear" w:color="auto" w:fill="F0EBE1"/>
            <w:vAlign w:val="center"/>
          </w:tcPr>
          <w:p w:rsidR="00AC369C" w:rsidRPr="00320F79" w:rsidRDefault="00AC369C" w:rsidP="0044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AC369C" w:rsidRPr="00320F79" w:rsidRDefault="00AC369C" w:rsidP="00444F5B">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sidRPr="00320F79">
              <w:rPr>
                <w:rFonts w:ascii="Arial" w:hAnsi="Arial" w:cs="Arial"/>
                <w:b/>
                <w:color w:val="6C6361"/>
                <w:sz w:val="20"/>
                <w:szCs w:val="20"/>
              </w:rPr>
              <w:instrText xml:space="preserve"> HYPERLINK "http://goo.gl/maps/DKYQ1" </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AC369C" w:rsidRPr="00320F79" w:rsidRDefault="00AC369C" w:rsidP="0044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15/F, Hip </w:t>
            </w:r>
            <w:proofErr w:type="spellStart"/>
            <w:r w:rsidRPr="00320F79">
              <w:rPr>
                <w:rStyle w:val="Hyperlink"/>
                <w:rFonts w:ascii="Arial" w:hAnsi="Arial" w:cs="Arial"/>
                <w:color w:val="6C6361"/>
                <w:sz w:val="20"/>
                <w:szCs w:val="20"/>
                <w:u w:val="none"/>
              </w:rPr>
              <w:t>Shing</w:t>
            </w:r>
            <w:proofErr w:type="spellEnd"/>
            <w:r w:rsidRPr="00320F79">
              <w:rPr>
                <w:rStyle w:val="Hyperlink"/>
                <w:rFonts w:ascii="Arial" w:hAnsi="Arial" w:cs="Arial"/>
                <w:color w:val="6C6361"/>
                <w:sz w:val="20"/>
                <w:szCs w:val="20"/>
                <w:u w:val="none"/>
              </w:rPr>
              <w:t xml:space="preserve"> Hong Centre</w:t>
            </w:r>
          </w:p>
          <w:p w:rsidR="00AC369C" w:rsidRPr="00320F79" w:rsidRDefault="00AC369C" w:rsidP="0044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55 Des </w:t>
            </w:r>
            <w:proofErr w:type="spellStart"/>
            <w:r w:rsidRPr="00320F79">
              <w:rPr>
                <w:rStyle w:val="Hyperlink"/>
                <w:rFonts w:ascii="Arial" w:hAnsi="Arial" w:cs="Arial"/>
                <w:color w:val="6C6361"/>
                <w:sz w:val="20"/>
                <w:szCs w:val="20"/>
                <w:u w:val="none"/>
              </w:rPr>
              <w:t>Voeux</w:t>
            </w:r>
            <w:proofErr w:type="spellEnd"/>
            <w:r w:rsidRPr="00320F79">
              <w:rPr>
                <w:rStyle w:val="Hyperlink"/>
                <w:rFonts w:ascii="Arial" w:hAnsi="Arial" w:cs="Arial"/>
                <w:color w:val="6C6361"/>
                <w:sz w:val="20"/>
                <w:szCs w:val="20"/>
                <w:u w:val="none"/>
              </w:rPr>
              <w:t xml:space="preserve"> Road Central</w:t>
            </w:r>
          </w:p>
          <w:p w:rsidR="00AC369C" w:rsidRPr="00320F79" w:rsidRDefault="00AC369C" w:rsidP="0044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AC369C" w:rsidRDefault="00AC369C" w:rsidP="00444F5B">
            <w:pPr>
              <w:jc w:val="right"/>
              <w:rPr>
                <w:rFonts w:ascii="Arial" w:hAnsi="Arial" w:cs="Arial"/>
                <w:b/>
                <w:color w:val="6C6361"/>
                <w:sz w:val="20"/>
                <w:szCs w:val="20"/>
              </w:rPr>
            </w:pPr>
          </w:p>
          <w:p w:rsidR="00AC369C" w:rsidRDefault="00AC369C" w:rsidP="00444F5B">
            <w:pPr>
              <w:jc w:val="right"/>
              <w:rPr>
                <w:rFonts w:ascii="Arial" w:hAnsi="Arial" w:cs="Arial"/>
                <w:b/>
                <w:color w:val="6C6361"/>
                <w:sz w:val="20"/>
                <w:szCs w:val="20"/>
              </w:rPr>
            </w:pPr>
          </w:p>
          <w:p w:rsidR="00AC369C" w:rsidRPr="00320F79" w:rsidRDefault="00AC369C" w:rsidP="00444F5B">
            <w:pPr>
              <w:jc w:val="right"/>
              <w:rPr>
                <w:rFonts w:ascii="Arial" w:hAnsi="Arial" w:cs="Arial"/>
                <w:b/>
                <w:color w:val="6C6361"/>
                <w:sz w:val="20"/>
                <w:szCs w:val="20"/>
              </w:rPr>
            </w:pPr>
            <w:r w:rsidRPr="00320F79">
              <w:rPr>
                <w:rFonts w:ascii="Arial" w:hAnsi="Arial" w:cs="Arial"/>
                <w:b/>
                <w:noProof/>
                <w:color w:val="6C6361"/>
                <w:sz w:val="20"/>
                <w:szCs w:val="20"/>
                <w:lang w:val="en-HK"/>
              </w:rPr>
              <w:drawing>
                <wp:inline distT="0" distB="0" distL="0" distR="0" wp14:anchorId="3B464948" wp14:editId="127624F4">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AC369C" w:rsidRPr="00E2201B" w:rsidRDefault="00AC369C" w:rsidP="00444F5B">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AC369C" w:rsidRPr="003A2A41" w:rsidRDefault="00AC369C" w:rsidP="0044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AC369C" w:rsidRPr="003A2A41" w:rsidRDefault="00AC369C" w:rsidP="0044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90" w:type="dxa"/>
            <w:tcBorders>
              <w:top w:val="single" w:sz="12" w:space="0" w:color="F0EBE1"/>
              <w:bottom w:val="nil"/>
              <w:right w:val="nil"/>
            </w:tcBorders>
            <w:shd w:val="clear" w:color="auto" w:fill="FFFFFF"/>
            <w:vAlign w:val="center"/>
          </w:tcPr>
          <w:p w:rsidR="00AC369C" w:rsidRPr="003A2A41" w:rsidRDefault="00AC369C" w:rsidP="0044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AC369C" w:rsidRPr="003A2A41" w:rsidRDefault="00AC369C" w:rsidP="0044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95" w:type="dxa"/>
            <w:tcBorders>
              <w:top w:val="nil"/>
              <w:left w:val="nil"/>
              <w:bottom w:val="nil"/>
              <w:right w:val="nil"/>
            </w:tcBorders>
            <w:shd w:val="clear" w:color="auto" w:fill="FFFFFF"/>
            <w:vAlign w:val="center"/>
          </w:tcPr>
          <w:p w:rsidR="00AC369C" w:rsidRPr="00156567" w:rsidRDefault="00AC369C" w:rsidP="0044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lang w:val="en-HK"/>
              </w:rPr>
              <w:drawing>
                <wp:inline distT="0" distB="0" distL="0" distR="0" wp14:anchorId="5974574A" wp14:editId="5F45A9FE">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AC369C" w:rsidRDefault="00214BC6" w:rsidP="00AC369C"/>
    <w:sectPr w:rsidR="00214BC6" w:rsidRPr="00AC369C"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5750" w:rsidRDefault="00B95750" w:rsidP="00546556">
      <w:r>
        <w:separator/>
      </w:r>
    </w:p>
  </w:endnote>
  <w:endnote w:type="continuationSeparator" w:id="0">
    <w:p w:rsidR="00B95750" w:rsidRDefault="00B95750"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lang w:val="en-HK"/>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lang w:val="en-HK"/>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5750" w:rsidRDefault="00B95750" w:rsidP="00546556">
      <w:r>
        <w:separator/>
      </w:r>
    </w:p>
  </w:footnote>
  <w:footnote w:type="continuationSeparator" w:id="0">
    <w:p w:rsidR="00B95750" w:rsidRDefault="00B95750"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DC0" w:rsidRDefault="00F0384F">
    <w:pPr>
      <w:pStyle w:val="Header"/>
    </w:pPr>
    <w:r>
      <w:rPr>
        <w:noProof/>
        <w:lang w:val="en-HK"/>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24D7613"/>
    <w:multiLevelType w:val="hybridMultilevel"/>
    <w:tmpl w:val="4F6AE4CC"/>
    <w:lvl w:ilvl="0" w:tplc="01A8DEFE">
      <w:numFmt w:val="bullet"/>
      <w:lvlText w:val="-"/>
      <w:lvlJc w:val="left"/>
      <w:pPr>
        <w:ind w:left="720" w:hanging="360"/>
      </w:pPr>
      <w:rPr>
        <w:rFonts w:ascii="Arial" w:eastAsia="PMingLiU"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gutterAtTop/>
  <w:proofState w:spelling="clean" w:grammar="clean"/>
  <w:documentProtection w:edit="forms" w:enforcement="1" w:cryptProviderType="rsaAES" w:cryptAlgorithmClass="hash" w:cryptAlgorithmType="typeAny" w:cryptAlgorithmSid="14" w:cryptSpinCount="100000" w:hash="FkMjYBWOFCaUapOJOh1TWWELxFmnqqsBitkGP+WxJm+1j0YiJu5FpPGQTIxMIZydnLKQVMdvNe9z5xa9a+nSgw==" w:salt="up0zMWQambB3DIf9viBah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3A30"/>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130"/>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247"/>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5D49"/>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69C"/>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5750"/>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DB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09800/"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20/"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0D53F-AE68-4F55-A39C-43C1240F0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654</Words>
  <Characters>3729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CPD Course, RME Elective Course: A Practical Guide to the Solicitors' Accounts Rules and Amendments Coming into Effect on 1 July 2016</vt:lpstr>
    </vt:vector>
  </TitlesOfParts>
  <Manager>Tyrone Tsang</Manager>
  <Company>The Profectional Company Limited</Company>
  <LinksUpToDate>false</LinksUpToDate>
  <CharactersWithSpaces>4375</CharactersWithSpaces>
  <SharedDoc>false</SharedDoc>
  <HyperlinkBase>http://download.profectional.com/events/EVT000000120.docx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Effective Cross-Examination Techniques</dc:title>
  <dc:subject>CPD Course: Effective Cross-Examination Techniques</dc:subject>
  <dc:creator>The Profectional Company Limited</dc:creator>
  <cp:keywords>Profectional; Kornerstone; CPD; CPT; CLE; CE; RME; Clive Grossman; Q.C.; S.C.; Barrister-at-Law; Parkside Chambers</cp:keywords>
  <cp:lastModifiedBy>Tyrone Tsang</cp:lastModifiedBy>
  <cp:revision>30</cp:revision>
  <cp:lastPrinted>2016-07-21T02:03:00Z</cp:lastPrinted>
  <dcterms:created xsi:type="dcterms:W3CDTF">2015-08-21T08:33:00Z</dcterms:created>
  <dcterms:modified xsi:type="dcterms:W3CDTF">2016-07-21T02:03:00Z</dcterms:modified>
</cp:coreProperties>
</file>