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065" w:rsidRPr="00EB7065" w:rsidRDefault="00EB7065" w:rsidP="00EB706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B7065" w:rsidRPr="00523A64" w:rsidTr="009B1190">
        <w:trPr>
          <w:trHeight w:val="3119"/>
          <w:jc w:val="center"/>
        </w:trPr>
        <w:tc>
          <w:tcPr>
            <w:tcW w:w="4820" w:type="dxa"/>
            <w:shd w:val="clear" w:color="auto" w:fill="FFFFFF"/>
            <w:vAlign w:val="center"/>
          </w:tcPr>
          <w:p w:rsidR="00EB7065" w:rsidRPr="005455CF" w:rsidRDefault="00EB7065" w:rsidP="009B1190">
            <w:pPr>
              <w:jc w:val="center"/>
              <w:rPr>
                <w:rFonts w:ascii="Arial" w:hAnsi="Arial" w:cs="Arial"/>
                <w:b/>
                <w:bCs/>
                <w:color w:val="524B48"/>
                <w:sz w:val="8"/>
                <w:szCs w:val="8"/>
              </w:rPr>
            </w:pPr>
          </w:p>
          <w:p w:rsidR="00EB7065" w:rsidRDefault="00EB7065" w:rsidP="009B1190">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"http://cpd.hk/evt000000131/"</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The</w:t>
            </w:r>
          </w:p>
          <w:p w:rsidR="00EB7065" w:rsidRDefault="00EB7065" w:rsidP="009B119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Development Control</w:t>
            </w:r>
          </w:p>
          <w:p w:rsidR="00EB7065" w:rsidRPr="00B8559C" w:rsidRDefault="00EB7065" w:rsidP="009B119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of Land </w:t>
            </w: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EB7065" w:rsidRPr="00510FE2" w:rsidRDefault="00EB7065" w:rsidP="009B1190">
            <w:pPr>
              <w:jc w:val="center"/>
              <w:rPr>
                <w:rFonts w:ascii="Arial" w:hAnsi="Arial" w:cs="Arial"/>
                <w:b/>
                <w:bCs/>
                <w:sz w:val="28"/>
                <w:szCs w:val="28"/>
              </w:rPr>
            </w:pPr>
            <w:r w:rsidRPr="00B8559C">
              <w:rPr>
                <w:rFonts w:ascii="Arial" w:hAnsi="Arial" w:cs="Arial"/>
                <w:b/>
                <w:bCs/>
                <w:color w:val="524B48"/>
                <w:sz w:val="32"/>
                <w:szCs w:val="32"/>
              </w:rPr>
              <w:fldChar w:fldCharType="end"/>
            </w:r>
          </w:p>
          <w:p w:rsidR="00EB7065" w:rsidRPr="009D67FA" w:rsidRDefault="00EB7065" w:rsidP="009B1190">
            <w:pPr>
              <w:jc w:val="center"/>
              <w:rPr>
                <w:rFonts w:ascii="Arial" w:hAnsi="Arial" w:cs="Arial"/>
                <w:i/>
                <w:color w:val="6C6361"/>
                <w:sz w:val="24"/>
                <w:szCs w:val="24"/>
              </w:rPr>
            </w:pPr>
            <w:r w:rsidRPr="009D67FA">
              <w:rPr>
                <w:rFonts w:ascii="Arial" w:hAnsi="Arial" w:cs="Arial"/>
                <w:i/>
                <w:color w:val="6C6361"/>
                <w:sz w:val="24"/>
                <w:szCs w:val="24"/>
              </w:rPr>
              <w:t>by</w:t>
            </w:r>
          </w:p>
          <w:p w:rsidR="00EB7065" w:rsidRPr="00B8559C" w:rsidRDefault="00EB7065" w:rsidP="009B1190">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EB7065" w:rsidRDefault="00EB7065" w:rsidP="009B1190">
            <w:pPr>
              <w:jc w:val="center"/>
              <w:rPr>
                <w:rFonts w:ascii="Arial" w:hAnsi="Arial" w:cs="Arial"/>
                <w:color w:val="6C6361"/>
                <w:sz w:val="24"/>
                <w:szCs w:val="24"/>
              </w:rPr>
            </w:pPr>
            <w:r>
              <w:rPr>
                <w:rFonts w:ascii="Arial" w:hAnsi="Arial" w:cs="Arial"/>
                <w:color w:val="6C6361"/>
                <w:sz w:val="24"/>
                <w:szCs w:val="24"/>
              </w:rPr>
              <w:t>Fellow Member,</w:t>
            </w:r>
          </w:p>
          <w:p w:rsidR="00EB7065" w:rsidRDefault="00EB7065" w:rsidP="009B1190">
            <w:pPr>
              <w:jc w:val="center"/>
              <w:rPr>
                <w:rFonts w:ascii="Arial" w:hAnsi="Arial" w:cs="Arial"/>
                <w:color w:val="6C6361"/>
                <w:sz w:val="24"/>
                <w:szCs w:val="24"/>
              </w:rPr>
            </w:pPr>
            <w:r>
              <w:rPr>
                <w:rFonts w:ascii="Arial" w:hAnsi="Arial" w:cs="Arial"/>
                <w:color w:val="6C6361"/>
                <w:sz w:val="24"/>
                <w:szCs w:val="24"/>
              </w:rPr>
              <w:t>Hong Kong Institute of Surveyors,</w:t>
            </w:r>
          </w:p>
          <w:p w:rsidR="00EB7065" w:rsidRDefault="00EB7065" w:rsidP="009B1190">
            <w:pPr>
              <w:jc w:val="center"/>
              <w:rPr>
                <w:rFonts w:ascii="Arial" w:hAnsi="Arial" w:cs="Arial"/>
                <w:color w:val="6C6361"/>
                <w:sz w:val="24"/>
                <w:szCs w:val="24"/>
              </w:rPr>
            </w:pPr>
            <w:r>
              <w:rPr>
                <w:rFonts w:ascii="Arial" w:hAnsi="Arial" w:cs="Arial"/>
                <w:color w:val="6C6361"/>
                <w:sz w:val="24"/>
                <w:szCs w:val="24"/>
              </w:rPr>
              <w:t>Former Lecturer,</w:t>
            </w:r>
          </w:p>
          <w:p w:rsidR="00EB7065" w:rsidRDefault="00EB7065" w:rsidP="009B1190">
            <w:pPr>
              <w:jc w:val="center"/>
              <w:rPr>
                <w:rFonts w:ascii="Arial" w:hAnsi="Arial" w:cs="Arial"/>
                <w:color w:val="6C6361"/>
                <w:sz w:val="24"/>
                <w:szCs w:val="24"/>
              </w:rPr>
            </w:pPr>
            <w:r>
              <w:rPr>
                <w:rFonts w:ascii="Arial" w:hAnsi="Arial" w:cs="Arial"/>
                <w:color w:val="6C6361"/>
                <w:sz w:val="24"/>
                <w:szCs w:val="24"/>
              </w:rPr>
              <w:t>City University of Hong Kong</w:t>
            </w:r>
          </w:p>
          <w:p w:rsidR="00EB7065" w:rsidRPr="005455CF" w:rsidRDefault="00EB7065" w:rsidP="009B1190">
            <w:pPr>
              <w:jc w:val="center"/>
              <w:rPr>
                <w:rFonts w:ascii="Arial" w:hAnsi="Arial" w:cs="Arial"/>
                <w:color w:val="6C6361"/>
                <w:sz w:val="8"/>
                <w:szCs w:val="8"/>
              </w:rPr>
            </w:pPr>
          </w:p>
        </w:tc>
        <w:tc>
          <w:tcPr>
            <w:tcW w:w="5954" w:type="dxa"/>
            <w:shd w:val="clear" w:color="auto" w:fill="FFFFFF"/>
            <w:vAlign w:val="center"/>
          </w:tcPr>
          <w:p w:rsidR="00EB7065" w:rsidRPr="00D50772" w:rsidRDefault="00EB7065" w:rsidP="009B1190">
            <w:pPr>
              <w:spacing w:line="276" w:lineRule="auto"/>
              <w:jc w:val="center"/>
              <w:rPr>
                <w:rFonts w:ascii="Arial" w:eastAsia="Times New Roman" w:hAnsi="Arial" w:cs="Arial"/>
                <w:noProof/>
                <w:sz w:val="20"/>
                <w:szCs w:val="20"/>
              </w:rPr>
            </w:pPr>
            <w:r w:rsidRPr="00B64935">
              <w:rPr>
                <w:rStyle w:val="Hyperlink"/>
                <w:rFonts w:ascii="Arial" w:hAnsi="Arial" w:cs="Arial"/>
                <w:b/>
                <w:bCs/>
                <w:noProof/>
                <w:color w:val="524B48"/>
                <w:sz w:val="32"/>
                <w:szCs w:val="32"/>
                <w:u w:val="none"/>
              </w:rPr>
              <w:drawing>
                <wp:anchor distT="0" distB="0" distL="114300" distR="114300" simplePos="0" relativeHeight="251662336" behindDoc="0" locked="0" layoutInCell="1" allowOverlap="1" wp14:anchorId="424C19F7" wp14:editId="7C8CF590">
                  <wp:simplePos x="0" y="0"/>
                  <wp:positionH relativeFrom="column">
                    <wp:posOffset>3175000</wp:posOffset>
                  </wp:positionH>
                  <wp:positionV relativeFrom="paragraph">
                    <wp:posOffset>-102235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6B5978A" wp14:editId="3F835749">
                  <wp:extent cx="3657600" cy="1828800"/>
                  <wp:effectExtent l="0" t="0" r="0" b="0"/>
                  <wp:docPr id="2"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B7065" w:rsidRPr="007B6541" w:rsidRDefault="00EB7065" w:rsidP="00EB7065">
      <w:pPr>
        <w:spacing w:line="276" w:lineRule="auto"/>
        <w:jc w:val="left"/>
        <w:rPr>
          <w:rFonts w:ascii="Arial" w:hAnsi="Arial" w:cs="Arial"/>
          <w:sz w:val="18"/>
        </w:rPr>
      </w:pPr>
    </w:p>
    <w:tbl>
      <w:tblPr>
        <w:tblW w:w="10773" w:type="dxa"/>
        <w:jc w:val="center"/>
        <w:tblLook w:val="04A0" w:firstRow="1" w:lastRow="0" w:firstColumn="1" w:lastColumn="0" w:noHBand="0" w:noVBand="1"/>
      </w:tblPr>
      <w:tblGrid>
        <w:gridCol w:w="1985"/>
        <w:gridCol w:w="8788"/>
      </w:tblGrid>
      <w:tr w:rsidR="00EB7065" w:rsidRPr="003B4D98" w:rsidTr="00EB7065">
        <w:trPr>
          <w:trHeight w:val="2892"/>
          <w:jc w:val="center"/>
        </w:trPr>
        <w:tc>
          <w:tcPr>
            <w:tcW w:w="1985" w:type="dxa"/>
            <w:shd w:val="clear" w:color="auto" w:fill="FFFFFF"/>
            <w:vAlign w:val="center"/>
          </w:tcPr>
          <w:p w:rsidR="00EB7065" w:rsidRPr="003B4D98" w:rsidRDefault="00EB7065" w:rsidP="009B1190">
            <w:pPr>
              <w:spacing w:line="276" w:lineRule="auto"/>
              <w:jc w:val="center"/>
              <w:rPr>
                <w:rFonts w:ascii="Arial" w:hAnsi="Arial" w:cs="Arial"/>
                <w:sz w:val="20"/>
                <w:szCs w:val="20"/>
              </w:rPr>
            </w:pPr>
            <w:r w:rsidRPr="003B4D98">
              <w:rPr>
                <w:rFonts w:ascii="Arial" w:hAnsi="Arial" w:cs="Arial"/>
                <w:noProof/>
                <w:sz w:val="20"/>
                <w:szCs w:val="20"/>
              </w:rPr>
              <w:drawing>
                <wp:inline distT="0" distB="0" distL="0" distR="0" wp14:anchorId="2CB8504E" wp14:editId="35ED906F">
                  <wp:extent cx="1080135" cy="1440180"/>
                  <wp:effectExtent l="0" t="0" r="5715" b="7620"/>
                  <wp:docPr id="5"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B7065" w:rsidRDefault="00EB7065" w:rsidP="00EB7065">
            <w:pPr>
              <w:spacing w:line="276" w:lineRule="auto"/>
              <w:rPr>
                <w:rFonts w:ascii="Arial" w:hAnsi="Arial" w:cs="Arial"/>
                <w:color w:val="6C6361"/>
                <w:sz w:val="20"/>
                <w:szCs w:val="20"/>
              </w:rPr>
            </w:pPr>
            <w:r w:rsidRPr="003B4D98">
              <w:rPr>
                <w:rFonts w:ascii="Arial" w:hAnsi="Arial" w:cs="Arial"/>
                <w:color w:val="6C6361"/>
                <w:sz w:val="20"/>
                <w:szCs w:val="20"/>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3B4D98">
              <w:rPr>
                <w:rFonts w:ascii="Arial" w:hAnsi="Arial" w:cs="Arial"/>
                <w:color w:val="6C6361"/>
                <w:sz w:val="20"/>
                <w:szCs w:val="20"/>
              </w:rPr>
              <w:t>Estate</w:t>
            </w:r>
            <w:proofErr w:type="gramEnd"/>
            <w:r w:rsidRPr="003B4D98">
              <w:rPr>
                <w:rFonts w:ascii="Arial" w:hAnsi="Arial" w:cs="Arial"/>
                <w:color w:val="6C6361"/>
                <w:sz w:val="20"/>
                <w:szCs w:val="20"/>
              </w:rPr>
              <w:t xml:space="preserve"> Surveying Studio etc.</w:t>
            </w:r>
          </w:p>
          <w:p w:rsidR="00EB7065" w:rsidRPr="00EB7065" w:rsidRDefault="00EB7065" w:rsidP="00EB7065">
            <w:pPr>
              <w:spacing w:line="276" w:lineRule="auto"/>
              <w:rPr>
                <w:rFonts w:ascii="Arial" w:hAnsi="Arial" w:cs="Arial"/>
                <w:color w:val="6C6361"/>
                <w:sz w:val="10"/>
                <w:szCs w:val="10"/>
              </w:rPr>
            </w:pPr>
          </w:p>
          <w:p w:rsidR="00EB7065" w:rsidRPr="003B4D98" w:rsidRDefault="00EB7065" w:rsidP="00EB7065">
            <w:pPr>
              <w:spacing w:line="276" w:lineRule="auto"/>
              <w:rPr>
                <w:rFonts w:ascii="Arial" w:hAnsi="Arial" w:cs="Arial"/>
                <w:color w:val="6C6361"/>
                <w:sz w:val="20"/>
                <w:szCs w:val="20"/>
              </w:rPr>
            </w:pPr>
            <w:r w:rsidRPr="003B4D98">
              <w:rPr>
                <w:rFonts w:ascii="Arial" w:hAnsi="Arial" w:cs="Arial"/>
                <w:color w:val="6C6361"/>
                <w:sz w:val="20"/>
                <w:szCs w:val="20"/>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EB7065" w:rsidRPr="007B6541" w:rsidRDefault="00EB7065" w:rsidP="00EB7065">
      <w:pPr>
        <w:spacing w:line="276" w:lineRule="auto"/>
        <w:contextualSpacing/>
        <w:jc w:val="left"/>
        <w:rPr>
          <w:rFonts w:ascii="Arial" w:hAnsi="Arial" w:cs="Arial"/>
          <w:sz w:val="18"/>
        </w:rPr>
      </w:pPr>
    </w:p>
    <w:tbl>
      <w:tblPr>
        <w:tblW w:w="10773" w:type="dxa"/>
        <w:jc w:val="center"/>
        <w:tblBorders>
          <w:bottom w:val="single" w:sz="12" w:space="0" w:color="FFFFFF" w:themeColor="background1"/>
        </w:tblBorders>
        <w:tblLook w:val="04A0" w:firstRow="1" w:lastRow="0" w:firstColumn="1" w:lastColumn="0" w:noHBand="0" w:noVBand="1"/>
      </w:tblPr>
      <w:tblGrid>
        <w:gridCol w:w="5245"/>
        <w:gridCol w:w="5528"/>
      </w:tblGrid>
      <w:tr w:rsidR="00EB7065" w:rsidRPr="003B4D98" w:rsidTr="009B1190">
        <w:trPr>
          <w:trHeight w:val="907"/>
          <w:jc w:val="center"/>
        </w:trPr>
        <w:tc>
          <w:tcPr>
            <w:tcW w:w="10773" w:type="dxa"/>
            <w:gridSpan w:val="2"/>
            <w:shd w:val="clear" w:color="auto" w:fill="FFFFFF" w:themeFill="background1"/>
            <w:vAlign w:val="center"/>
          </w:tcPr>
          <w:p w:rsidR="00EB7065" w:rsidRPr="003B4D98" w:rsidRDefault="00EB7065" w:rsidP="009B1190">
            <w:pPr>
              <w:spacing w:line="276" w:lineRule="auto"/>
              <w:rPr>
                <w:rFonts w:ascii="Arial" w:eastAsia="Times New Roman" w:hAnsi="Arial" w:cs="Arial"/>
                <w:color w:val="6C6361"/>
                <w:sz w:val="20"/>
                <w:szCs w:val="20"/>
              </w:rPr>
            </w:pPr>
            <w:r w:rsidRPr="003B4D98">
              <w:rPr>
                <w:rFonts w:ascii="Arial" w:eastAsia="Times New Roman" w:hAnsi="Arial" w:cs="Arial"/>
                <w:color w:val="6C6361"/>
                <w:sz w:val="20"/>
                <w:szCs w:val="20"/>
              </w:rPr>
              <w:t>The development control plays a critical role in the concept of sustainable development, ensuring the land resources can be developed in a proper way.  Moreover, it becomes more and more important in view of increasing concern in planning and environmental aspects.</w:t>
            </w:r>
          </w:p>
        </w:tc>
      </w:tr>
      <w:tr w:rsidR="00EB7065" w:rsidRPr="003B4D98" w:rsidTr="009B1190">
        <w:trPr>
          <w:trHeight w:val="397"/>
          <w:jc w:val="center"/>
        </w:trPr>
        <w:tc>
          <w:tcPr>
            <w:tcW w:w="10773" w:type="dxa"/>
            <w:gridSpan w:val="2"/>
            <w:tcBorders>
              <w:top w:val="nil"/>
            </w:tcBorders>
            <w:shd w:val="clear" w:color="auto" w:fill="F0EBE1"/>
            <w:vAlign w:val="center"/>
          </w:tcPr>
          <w:p w:rsidR="00EB7065" w:rsidRPr="003B4D98" w:rsidRDefault="00EB7065" w:rsidP="009B1190">
            <w:pPr>
              <w:spacing w:line="276" w:lineRule="auto"/>
              <w:jc w:val="left"/>
              <w:rPr>
                <w:rFonts w:ascii="Arial" w:hAnsi="Arial" w:cs="Arial"/>
                <w:b/>
                <w:color w:val="524B48"/>
                <w:sz w:val="20"/>
                <w:szCs w:val="20"/>
              </w:rPr>
            </w:pPr>
            <w:r w:rsidRPr="003B4D98">
              <w:rPr>
                <w:rFonts w:ascii="Arial" w:hAnsi="Arial" w:cs="Arial"/>
                <w:b/>
                <w:color w:val="524B48"/>
                <w:sz w:val="20"/>
                <w:szCs w:val="20"/>
              </w:rPr>
              <w:t>In this seminar, Mr. Leung is going to share with us on the followings:</w:t>
            </w:r>
          </w:p>
        </w:tc>
      </w:tr>
      <w:tr w:rsidR="00EB7065" w:rsidRPr="003B4D98" w:rsidTr="009B1190">
        <w:trPr>
          <w:trHeight w:val="3062"/>
          <w:jc w:val="center"/>
        </w:trPr>
        <w:tc>
          <w:tcPr>
            <w:tcW w:w="5245" w:type="dxa"/>
            <w:tcBorders>
              <w:bottom w:val="nil"/>
              <w:right w:val="nil"/>
            </w:tcBorders>
            <w:shd w:val="clear" w:color="auto" w:fill="FFFFFF"/>
          </w:tcPr>
          <w:p w:rsidR="00EB7065" w:rsidRPr="0083050C" w:rsidRDefault="00EB7065" w:rsidP="009B1190">
            <w:pPr>
              <w:spacing w:line="276" w:lineRule="auto"/>
              <w:jc w:val="left"/>
              <w:rPr>
                <w:rFonts w:ascii="Arial" w:hAnsi="Arial" w:cs="Arial"/>
                <w:color w:val="6C6361"/>
                <w:sz w:val="8"/>
                <w:szCs w:val="8"/>
              </w:rPr>
            </w:pPr>
          </w:p>
          <w:p w:rsidR="00EB7065" w:rsidRPr="003B4D98" w:rsidRDefault="00EB7065" w:rsidP="009B1190">
            <w:pPr>
              <w:pStyle w:val="ListParagraph"/>
              <w:numPr>
                <w:ilvl w:val="0"/>
                <w:numId w:val="2"/>
              </w:numPr>
              <w:spacing w:line="276" w:lineRule="auto"/>
              <w:jc w:val="left"/>
              <w:rPr>
                <w:rFonts w:ascii="Arial" w:hAnsi="Arial" w:cs="Arial"/>
                <w:color w:val="6C6361"/>
                <w:sz w:val="20"/>
                <w:szCs w:val="20"/>
              </w:rPr>
            </w:pPr>
            <w:r w:rsidRPr="003B4D98">
              <w:rPr>
                <w:rFonts w:ascii="Arial" w:hAnsi="Arial" w:cs="Arial"/>
                <w:color w:val="6C6361"/>
                <w:sz w:val="20"/>
                <w:szCs w:val="20"/>
              </w:rPr>
              <w:t>Lease Control in Hong Kong, Conditions of Sale</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Green Formation Area</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Landscaping Proposals</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Non-Building Area</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Site Coverage</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Building Covenant</w:t>
            </w:r>
          </w:p>
          <w:p w:rsidR="00EB7065" w:rsidRPr="003B4D98" w:rsidRDefault="00EB7065" w:rsidP="009B1190">
            <w:pPr>
              <w:pStyle w:val="ListParagraph"/>
              <w:numPr>
                <w:ilvl w:val="0"/>
                <w:numId w:val="2"/>
              </w:numPr>
              <w:spacing w:line="276" w:lineRule="auto"/>
              <w:jc w:val="left"/>
              <w:rPr>
                <w:rFonts w:ascii="Arial" w:hAnsi="Arial" w:cs="Arial"/>
                <w:color w:val="6C6361"/>
                <w:sz w:val="20"/>
                <w:szCs w:val="20"/>
              </w:rPr>
            </w:pPr>
            <w:r w:rsidRPr="003B4D98">
              <w:rPr>
                <w:rFonts w:ascii="Arial" w:hAnsi="Arial" w:cs="Arial"/>
                <w:color w:val="6C6361"/>
                <w:sz w:val="20"/>
                <w:szCs w:val="20"/>
              </w:rPr>
              <w:t>Building Control in Hong Kong, Buildings Ordinance (Cap. 123)</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Building (Planning) Regulations</w:t>
            </w:r>
          </w:p>
          <w:p w:rsidR="00EB7065"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Site A, B, C</w:t>
            </w:r>
          </w:p>
          <w:p w:rsidR="00EB7065" w:rsidRPr="0083050C"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Definition of a Street</w:t>
            </w:r>
          </w:p>
        </w:tc>
        <w:tc>
          <w:tcPr>
            <w:tcW w:w="5528" w:type="dxa"/>
            <w:tcBorders>
              <w:left w:val="nil"/>
              <w:bottom w:val="nil"/>
            </w:tcBorders>
            <w:shd w:val="clear" w:color="auto" w:fill="FFFFFF"/>
          </w:tcPr>
          <w:p w:rsidR="00EB7065" w:rsidRPr="0083050C" w:rsidRDefault="00EB7065" w:rsidP="009B1190">
            <w:pPr>
              <w:spacing w:line="276" w:lineRule="auto"/>
              <w:jc w:val="left"/>
              <w:rPr>
                <w:rFonts w:ascii="Arial" w:hAnsi="Arial" w:cs="Arial"/>
                <w:color w:val="6C6361"/>
                <w:sz w:val="8"/>
                <w:szCs w:val="8"/>
              </w:rPr>
            </w:pPr>
          </w:p>
          <w:p w:rsidR="00EB7065" w:rsidRPr="0083050C" w:rsidRDefault="00EB7065" w:rsidP="009B1190">
            <w:pPr>
              <w:pStyle w:val="ListParagraph"/>
              <w:numPr>
                <w:ilvl w:val="1"/>
                <w:numId w:val="2"/>
              </w:numPr>
              <w:spacing w:line="276" w:lineRule="auto"/>
              <w:jc w:val="left"/>
              <w:rPr>
                <w:rFonts w:ascii="Arial" w:hAnsi="Arial" w:cs="Arial"/>
                <w:color w:val="6C6361"/>
                <w:sz w:val="20"/>
                <w:szCs w:val="20"/>
              </w:rPr>
            </w:pPr>
            <w:r w:rsidRPr="0083050C">
              <w:rPr>
                <w:rFonts w:ascii="Arial" w:hAnsi="Arial" w:cs="Arial"/>
                <w:color w:val="6C6361"/>
                <w:sz w:val="20"/>
                <w:szCs w:val="20"/>
              </w:rPr>
              <w:t>First Schedule: Percentage Site Coverage &amp; Plot Ratio</w:t>
            </w:r>
          </w:p>
          <w:p w:rsidR="00EB7065" w:rsidRPr="003B4D98" w:rsidRDefault="00EB7065" w:rsidP="009B1190">
            <w:pPr>
              <w:pStyle w:val="ListParagraph"/>
              <w:numPr>
                <w:ilvl w:val="0"/>
                <w:numId w:val="2"/>
              </w:numPr>
              <w:spacing w:line="276" w:lineRule="auto"/>
              <w:jc w:val="left"/>
              <w:rPr>
                <w:rFonts w:ascii="Arial" w:hAnsi="Arial" w:cs="Arial"/>
                <w:color w:val="6C6361"/>
                <w:sz w:val="20"/>
                <w:szCs w:val="20"/>
              </w:rPr>
            </w:pPr>
            <w:r w:rsidRPr="003B4D98">
              <w:rPr>
                <w:rFonts w:ascii="Arial" w:hAnsi="Arial" w:cs="Arial"/>
                <w:color w:val="6C6361"/>
                <w:sz w:val="20"/>
                <w:szCs w:val="20"/>
              </w:rPr>
              <w:t>Planning Control in Hong Kong, Town Planning Ordinance (Cap. 131)</w:t>
            </w:r>
          </w:p>
          <w:p w:rsidR="00EB7065" w:rsidRPr="003B4D98" w:rsidRDefault="00EB7065" w:rsidP="009B1190">
            <w:pPr>
              <w:pStyle w:val="ListParagraph"/>
              <w:numPr>
                <w:ilvl w:val="0"/>
                <w:numId w:val="2"/>
              </w:numPr>
              <w:spacing w:line="276" w:lineRule="auto"/>
              <w:jc w:val="left"/>
              <w:rPr>
                <w:rFonts w:ascii="Arial" w:hAnsi="Arial" w:cs="Arial"/>
                <w:color w:val="6C6361"/>
                <w:sz w:val="20"/>
                <w:szCs w:val="20"/>
              </w:rPr>
            </w:pPr>
            <w:r w:rsidRPr="00B64935">
              <w:rPr>
                <w:rFonts w:ascii="Arial" w:hAnsi="Arial" w:cs="Arial"/>
                <w:noProof/>
                <w:color w:val="6C6361"/>
                <w:sz w:val="20"/>
                <w:szCs w:val="20"/>
              </w:rPr>
              <w:drawing>
                <wp:anchor distT="0" distB="0" distL="114300" distR="114300" simplePos="0" relativeHeight="251663360" behindDoc="0" locked="0" layoutInCell="1" allowOverlap="1" wp14:anchorId="75CAD2D4" wp14:editId="01070D6C">
                  <wp:simplePos x="0" y="0"/>
                  <wp:positionH relativeFrom="column">
                    <wp:posOffset>2394285</wp:posOffset>
                  </wp:positionH>
                  <wp:positionV relativeFrom="paragraph">
                    <wp:posOffset>18983</wp:posOffset>
                  </wp:positionV>
                  <wp:extent cx="896400" cy="10224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D98">
              <w:rPr>
                <w:rFonts w:ascii="Arial" w:hAnsi="Arial" w:cs="Arial"/>
                <w:color w:val="6C6361"/>
                <w:sz w:val="20"/>
                <w:szCs w:val="20"/>
              </w:rPr>
              <w:t>Column I &amp; II Uses</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Outline Zoning Plans</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S.16 Planning Applications</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Rezoning</w:t>
            </w:r>
          </w:p>
          <w:p w:rsidR="00EB7065" w:rsidRPr="003B4D98" w:rsidRDefault="00EB7065" w:rsidP="009B1190">
            <w:pPr>
              <w:pStyle w:val="ListParagraph"/>
              <w:numPr>
                <w:ilvl w:val="1"/>
                <w:numId w:val="2"/>
              </w:numPr>
              <w:spacing w:line="276" w:lineRule="auto"/>
              <w:jc w:val="left"/>
              <w:rPr>
                <w:rFonts w:ascii="Arial" w:hAnsi="Arial" w:cs="Arial"/>
                <w:color w:val="6C6361"/>
                <w:sz w:val="20"/>
                <w:szCs w:val="20"/>
              </w:rPr>
            </w:pPr>
            <w:r w:rsidRPr="003B4D98">
              <w:rPr>
                <w:rFonts w:ascii="Arial" w:hAnsi="Arial" w:cs="Arial"/>
                <w:color w:val="6C6361"/>
                <w:sz w:val="20"/>
                <w:szCs w:val="20"/>
              </w:rPr>
              <w:t xml:space="preserve">Impact Assessments  </w:t>
            </w:r>
          </w:p>
          <w:p w:rsidR="00EB7065" w:rsidRPr="003B4D98" w:rsidRDefault="00EB7065" w:rsidP="009B1190">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Group Discussion &amp; E</w:t>
            </w:r>
            <w:r w:rsidRPr="003B4D98">
              <w:rPr>
                <w:rFonts w:ascii="Arial" w:hAnsi="Arial" w:cs="Arial"/>
                <w:color w:val="6C6361"/>
                <w:sz w:val="20"/>
                <w:szCs w:val="20"/>
              </w:rPr>
              <w:t>xercise</w:t>
            </w:r>
          </w:p>
        </w:tc>
      </w:tr>
    </w:tbl>
    <w:p w:rsidR="00EB7065" w:rsidRPr="00EB7065" w:rsidRDefault="00EB7065" w:rsidP="00023504">
      <w:pPr>
        <w:spacing w:line="276" w:lineRule="auto"/>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69"/>
        <w:gridCol w:w="2837"/>
        <w:gridCol w:w="794"/>
        <w:gridCol w:w="1698"/>
        <w:gridCol w:w="2535"/>
        <w:gridCol w:w="1239"/>
      </w:tblGrid>
      <w:tr w:rsidR="00EB7065" w:rsidRPr="005A2F25" w:rsidTr="00EB7065">
        <w:trPr>
          <w:trHeight w:val="397"/>
          <w:jc w:val="center"/>
        </w:trPr>
        <w:tc>
          <w:tcPr>
            <w:tcW w:w="1669" w:type="dxa"/>
            <w:tcBorders>
              <w:top w:val="nil"/>
              <w:left w:val="nil"/>
              <w:bottom w:val="single" w:sz="12" w:space="0" w:color="FFFFFF"/>
            </w:tcBorders>
            <w:shd w:val="clear" w:color="auto" w:fill="F0EBE1"/>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31" w:type="dxa"/>
            <w:gridSpan w:val="2"/>
            <w:tcBorders>
              <w:top w:val="nil"/>
              <w:bottom w:val="single" w:sz="12" w:space="0" w:color="F0EBE1"/>
            </w:tcBorders>
            <w:shd w:val="clear" w:color="auto" w:fill="FFFFFF"/>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EVT000000131</w:t>
            </w:r>
          </w:p>
        </w:tc>
        <w:tc>
          <w:tcPr>
            <w:tcW w:w="1698" w:type="dxa"/>
            <w:tcBorders>
              <w:top w:val="nil"/>
              <w:bottom w:val="single" w:sz="12" w:space="0" w:color="FFFFFF"/>
            </w:tcBorders>
            <w:shd w:val="clear" w:color="auto" w:fill="F0EBE1"/>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74" w:type="dxa"/>
            <w:gridSpan w:val="2"/>
            <w:tcBorders>
              <w:top w:val="nil"/>
              <w:bottom w:val="single" w:sz="12" w:space="0" w:color="F0EBE1"/>
              <w:right w:val="nil"/>
            </w:tcBorders>
            <w:shd w:val="clear" w:color="auto" w:fill="FFFFFF"/>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EB7065" w:rsidRPr="005A2F25" w:rsidTr="00EB7065">
        <w:trPr>
          <w:trHeight w:val="397"/>
          <w:jc w:val="center"/>
        </w:trPr>
        <w:tc>
          <w:tcPr>
            <w:tcW w:w="1669" w:type="dxa"/>
            <w:tcBorders>
              <w:top w:val="single" w:sz="12" w:space="0" w:color="FFFFFF"/>
              <w:left w:val="nil"/>
              <w:bottom w:val="single" w:sz="12" w:space="0" w:color="FFFFFF"/>
            </w:tcBorders>
            <w:shd w:val="clear" w:color="auto" w:fill="F0EBE1"/>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31" w:type="dxa"/>
            <w:gridSpan w:val="2"/>
            <w:tcBorders>
              <w:top w:val="single" w:sz="12" w:space="0" w:color="F0EBE1"/>
              <w:bottom w:val="single" w:sz="12" w:space="0" w:color="F0EBE1"/>
            </w:tcBorders>
            <w:shd w:val="clear" w:color="auto" w:fill="FFFFFF"/>
            <w:vAlign w:val="center"/>
          </w:tcPr>
          <w:p w:rsidR="00EB7065" w:rsidRPr="00482956"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19 September 2016 (Monday)</w:t>
            </w:r>
          </w:p>
        </w:tc>
        <w:tc>
          <w:tcPr>
            <w:tcW w:w="1698" w:type="dxa"/>
            <w:tcBorders>
              <w:top w:val="single" w:sz="12" w:space="0" w:color="FFFFFF"/>
              <w:bottom w:val="single" w:sz="12" w:space="0" w:color="FFFFFF"/>
            </w:tcBorders>
            <w:shd w:val="clear" w:color="auto" w:fill="F0EBE1"/>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74" w:type="dxa"/>
            <w:gridSpan w:val="2"/>
            <w:tcBorders>
              <w:top w:val="single" w:sz="12" w:space="0" w:color="F0EBE1"/>
              <w:bottom w:val="single" w:sz="12" w:space="0" w:color="F0EBE1"/>
              <w:right w:val="nil"/>
            </w:tcBorders>
            <w:shd w:val="clear" w:color="auto" w:fill="FFFFFF"/>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EB7065" w:rsidRPr="005A2F25" w:rsidTr="00EB7065">
        <w:trPr>
          <w:trHeight w:val="397"/>
          <w:jc w:val="center"/>
        </w:trPr>
        <w:tc>
          <w:tcPr>
            <w:tcW w:w="1669" w:type="dxa"/>
            <w:tcBorders>
              <w:top w:val="single" w:sz="12" w:space="0" w:color="FFFFFF"/>
              <w:left w:val="nil"/>
              <w:bottom w:val="single" w:sz="12" w:space="0" w:color="FFFFFF"/>
            </w:tcBorders>
            <w:shd w:val="clear" w:color="auto" w:fill="F0EBE1"/>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31" w:type="dxa"/>
            <w:gridSpan w:val="2"/>
            <w:tcBorders>
              <w:top w:val="single" w:sz="12" w:space="0" w:color="F0EBE1"/>
              <w:bottom w:val="single" w:sz="12" w:space="0" w:color="F0EBE1"/>
            </w:tcBorders>
            <w:shd w:val="clear" w:color="auto" w:fill="FFFFFF"/>
            <w:vAlign w:val="center"/>
          </w:tcPr>
          <w:p w:rsidR="00EB7065"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EB7065" w:rsidRPr="00EC7ADB"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698" w:type="dxa"/>
            <w:tcBorders>
              <w:top w:val="single" w:sz="12" w:space="0" w:color="FFFFFF"/>
              <w:bottom w:val="single" w:sz="12" w:space="0" w:color="FFFFFF"/>
            </w:tcBorders>
            <w:shd w:val="clear" w:color="auto" w:fill="F0EBE1"/>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74" w:type="dxa"/>
            <w:gridSpan w:val="2"/>
            <w:tcBorders>
              <w:top w:val="single" w:sz="12" w:space="0" w:color="F0EBE1"/>
              <w:bottom w:val="single" w:sz="12" w:space="0" w:color="F0EBE1"/>
              <w:right w:val="nil"/>
            </w:tcBorders>
            <w:shd w:val="clear" w:color="auto" w:fill="FFFFFF"/>
            <w:vAlign w:val="center"/>
          </w:tcPr>
          <w:p w:rsidR="00EB7065"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EB7065" w:rsidRPr="005B3A50"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B3A50">
              <w:rPr>
                <w:rFonts w:ascii="Arial" w:hAnsi="Arial" w:cs="Arial"/>
                <w:color w:val="6C6361"/>
                <w:sz w:val="20"/>
                <w:szCs w:val="20"/>
              </w:rPr>
              <w:t>(LSHK Allocated Number: 20161567)</w:t>
            </w:r>
          </w:p>
        </w:tc>
      </w:tr>
      <w:tr w:rsidR="00EB7065" w:rsidRPr="005A2F25" w:rsidTr="00EB7065">
        <w:trPr>
          <w:trHeight w:val="1247"/>
          <w:jc w:val="center"/>
        </w:trPr>
        <w:tc>
          <w:tcPr>
            <w:tcW w:w="1669" w:type="dxa"/>
            <w:tcBorders>
              <w:top w:val="single" w:sz="12" w:space="0" w:color="FFFFFF"/>
              <w:left w:val="nil"/>
              <w:bottom w:val="nil"/>
            </w:tcBorders>
            <w:shd w:val="clear" w:color="auto" w:fill="F0EBE1"/>
            <w:vAlign w:val="center"/>
          </w:tcPr>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37" w:type="dxa"/>
            <w:tcBorders>
              <w:top w:val="single" w:sz="12" w:space="0" w:color="F0EBE1"/>
              <w:bottom w:val="nil"/>
              <w:right w:val="nil"/>
            </w:tcBorders>
            <w:shd w:val="clear" w:color="auto" w:fill="FFFFFF"/>
            <w:vAlign w:val="center"/>
          </w:tcPr>
          <w:p w:rsidR="00EB7065" w:rsidRPr="00482956" w:rsidRDefault="00EB7065" w:rsidP="00EB706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EB7065" w:rsidRPr="00F36D9A"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EB7065" w:rsidRPr="00F36D9A"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EB7065" w:rsidRPr="002343EF"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B7065" w:rsidRPr="00334CAE" w:rsidRDefault="00EB7065" w:rsidP="00EB7065">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3B929BA9" wp14:editId="026A75B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B7065" w:rsidRPr="00334CAE" w:rsidRDefault="00EB7065" w:rsidP="00EB7065">
            <w:pPr>
              <w:jc w:val="right"/>
              <w:rPr>
                <w:rFonts w:ascii="Arial" w:hAnsi="Arial" w:cs="Arial"/>
                <w:b/>
                <w:color w:val="6C6361"/>
                <w:sz w:val="12"/>
                <w:szCs w:val="12"/>
              </w:rPr>
            </w:pPr>
          </w:p>
        </w:tc>
        <w:tc>
          <w:tcPr>
            <w:tcW w:w="1698" w:type="dxa"/>
            <w:tcBorders>
              <w:top w:val="single" w:sz="12" w:space="0" w:color="FFFFFF"/>
              <w:bottom w:val="nil"/>
            </w:tcBorders>
            <w:shd w:val="clear" w:color="auto" w:fill="F0EBE1"/>
            <w:vAlign w:val="center"/>
          </w:tcPr>
          <w:p w:rsidR="00EB7065" w:rsidRPr="003A2A41"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B7065" w:rsidRPr="003A2A41"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35" w:type="dxa"/>
            <w:tcBorders>
              <w:top w:val="single" w:sz="12" w:space="0" w:color="F0EBE1"/>
              <w:bottom w:val="nil"/>
              <w:right w:val="nil"/>
            </w:tcBorders>
            <w:shd w:val="clear" w:color="auto" w:fill="FFFFFF"/>
            <w:vAlign w:val="center"/>
          </w:tcPr>
          <w:p w:rsidR="00EB7065" w:rsidRPr="003A2A41"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B7065" w:rsidRPr="003A2A41"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rsidR="00EB7065" w:rsidRPr="00156567" w:rsidRDefault="00EB7065" w:rsidP="00EB7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932C6B8" wp14:editId="3BFE6780">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23504" w:rsidRDefault="00214BC6" w:rsidP="00023504">
      <w:pPr>
        <w:rPr>
          <w:sz w:val="2"/>
          <w:szCs w:val="2"/>
        </w:rPr>
      </w:pPr>
    </w:p>
    <w:sectPr w:rsidR="00214BC6" w:rsidRPr="0002350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B36" w:rsidRDefault="00832B36" w:rsidP="00546556">
      <w:r>
        <w:separator/>
      </w:r>
    </w:p>
  </w:endnote>
  <w:endnote w:type="continuationSeparator" w:id="0">
    <w:p w:rsidR="00832B36" w:rsidRDefault="00832B3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B36" w:rsidRDefault="00832B36" w:rsidP="00546556">
      <w:r>
        <w:separator/>
      </w:r>
    </w:p>
  </w:footnote>
  <w:footnote w:type="continuationSeparator" w:id="0">
    <w:p w:rsidR="00832B36" w:rsidRDefault="00832B3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yZymcLVj25mTIrKHsn78yGq0nVzD+oiQiZBEEQSxitWSG8s3rfFAnywV+ny3/GA9p0JJNwINtQvDzuEwnBuuWg==" w:salt="1Zw2M525jeCxqtBq4/O+p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727"/>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36"/>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065"/>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3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74501-9FD8-4D1B-BF03-4A765D462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The Development Control of Land in Hong Kong</vt:lpstr>
    </vt:vector>
  </TitlesOfParts>
  <Manager>Tyrone Tsang</Manager>
  <Company>The Profectional Company Limited</Company>
  <LinksUpToDate>false</LinksUpToDate>
  <CharactersWithSpaces>2479</CharactersWithSpaces>
  <SharedDoc>false</SharedDoc>
  <HyperlinkBase>http://download.profectional.com/events/EVT000000131.docx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Development Control of Land in Hong Kong</dc:title>
  <dc:subject>CPD Course: The Development Control of Land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27</cp:revision>
  <cp:lastPrinted>2016-03-20T17:35:00Z</cp:lastPrinted>
  <dcterms:created xsi:type="dcterms:W3CDTF">2015-08-21T08:33:00Z</dcterms:created>
  <dcterms:modified xsi:type="dcterms:W3CDTF">2016-09-19T03:07:00Z</dcterms:modified>
</cp:coreProperties>
</file>