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B56" w:rsidRPr="00E00B56" w:rsidRDefault="00E00B56" w:rsidP="00E00B56">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E00B56" w:rsidRPr="00523A64" w:rsidTr="008222D3">
        <w:trPr>
          <w:trHeight w:val="3119"/>
          <w:jc w:val="center"/>
        </w:trPr>
        <w:tc>
          <w:tcPr>
            <w:tcW w:w="4820" w:type="dxa"/>
            <w:shd w:val="clear" w:color="auto" w:fill="FFFFFF"/>
            <w:vAlign w:val="center"/>
          </w:tcPr>
          <w:p w:rsidR="00E00B56" w:rsidRPr="005455CF" w:rsidRDefault="00E00B56" w:rsidP="008222D3">
            <w:pPr>
              <w:jc w:val="center"/>
              <w:rPr>
                <w:rFonts w:ascii="Arial" w:hAnsi="Arial" w:cs="Arial"/>
                <w:b/>
                <w:bCs/>
                <w:color w:val="524B48"/>
                <w:sz w:val="8"/>
                <w:szCs w:val="8"/>
              </w:rPr>
            </w:pPr>
          </w:p>
          <w:p w:rsidR="00E00B56" w:rsidRDefault="00E00B56" w:rsidP="008222D3">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"http://cpd.hk/evt000000133/"</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Understanding</w:t>
            </w:r>
          </w:p>
          <w:p w:rsidR="00E00B56" w:rsidRDefault="00E00B56" w:rsidP="008222D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Competition Law:</w:t>
            </w:r>
            <w:r>
              <w:rPr>
                <w:rStyle w:val="Hyperlink"/>
                <w:rFonts w:ascii="Arial" w:hAnsi="Arial" w:cs="Arial"/>
                <w:b/>
                <w:bCs/>
                <w:color w:val="524B48"/>
                <w:sz w:val="32"/>
                <w:szCs w:val="32"/>
              </w:rPr>
              <w:t xml:space="preserve"> </w:t>
            </w:r>
          </w:p>
          <w:p w:rsidR="00E00B56" w:rsidRDefault="00E00B56" w:rsidP="008222D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 Introduction to the</w:t>
            </w:r>
          </w:p>
          <w:p w:rsidR="00E00B56" w:rsidRDefault="00E00B56" w:rsidP="008222D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Hong Kong</w:t>
            </w:r>
          </w:p>
          <w:p w:rsidR="00E00B56" w:rsidRPr="00B8559C" w:rsidRDefault="00E00B56" w:rsidP="008222D3">
            <w:pPr>
              <w:jc w:val="center"/>
              <w:rPr>
                <w:rStyle w:val="Hyperlink"/>
                <w:rFonts w:ascii="Arial" w:hAnsi="Arial" w:cs="Arial"/>
                <w:b/>
                <w:bCs/>
                <w:color w:val="524B48"/>
                <w:sz w:val="32"/>
                <w:szCs w:val="32"/>
                <w:u w:val="none"/>
              </w:rPr>
            </w:pPr>
            <w:r w:rsidRPr="00AF7C12">
              <w:rPr>
                <w:rStyle w:val="Hyperlink"/>
                <w:rFonts w:ascii="Arial" w:hAnsi="Arial" w:cs="Arial"/>
                <w:b/>
                <w:bCs/>
                <w:color w:val="524B48"/>
                <w:sz w:val="32"/>
                <w:szCs w:val="32"/>
                <w:u w:val="none"/>
              </w:rPr>
              <w:t>Competition Ordinance</w:t>
            </w:r>
          </w:p>
          <w:p w:rsidR="00E00B56" w:rsidRPr="00510FE2" w:rsidRDefault="00E00B56" w:rsidP="008222D3">
            <w:pPr>
              <w:jc w:val="center"/>
              <w:rPr>
                <w:rFonts w:ascii="Arial" w:hAnsi="Arial" w:cs="Arial"/>
                <w:b/>
                <w:bCs/>
                <w:sz w:val="28"/>
                <w:szCs w:val="28"/>
              </w:rPr>
            </w:pPr>
            <w:r w:rsidRPr="00B8559C">
              <w:rPr>
                <w:rFonts w:ascii="Arial" w:hAnsi="Arial" w:cs="Arial"/>
                <w:b/>
                <w:bCs/>
                <w:color w:val="524B48"/>
                <w:sz w:val="32"/>
                <w:szCs w:val="32"/>
              </w:rPr>
              <w:fldChar w:fldCharType="end"/>
            </w:r>
          </w:p>
          <w:p w:rsidR="00E00B56" w:rsidRPr="009D67FA" w:rsidRDefault="00E00B56" w:rsidP="008222D3">
            <w:pPr>
              <w:jc w:val="center"/>
              <w:rPr>
                <w:rFonts w:ascii="Arial" w:hAnsi="Arial" w:cs="Arial"/>
                <w:i/>
                <w:color w:val="6C6361"/>
                <w:sz w:val="24"/>
                <w:szCs w:val="24"/>
              </w:rPr>
            </w:pPr>
            <w:r w:rsidRPr="009D67FA">
              <w:rPr>
                <w:rFonts w:ascii="Arial" w:hAnsi="Arial" w:cs="Arial"/>
                <w:i/>
                <w:color w:val="6C6361"/>
                <w:sz w:val="24"/>
                <w:szCs w:val="24"/>
              </w:rPr>
              <w:t>by</w:t>
            </w:r>
          </w:p>
          <w:p w:rsidR="00E00B56" w:rsidRPr="00B8559C" w:rsidRDefault="00E00B56" w:rsidP="008222D3">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Prof</w:t>
              </w:r>
              <w:r w:rsidRPr="00AC7DF6">
                <w:rPr>
                  <w:rStyle w:val="Hyperlink"/>
                  <w:rFonts w:ascii="Arial" w:hAnsi="Arial" w:cs="Arial"/>
                  <w:color w:val="6C6361"/>
                  <w:sz w:val="24"/>
                  <w:szCs w:val="24"/>
                  <w:u w:val="none"/>
                </w:rPr>
                <w:t xml:space="preserve">. </w:t>
              </w:r>
              <w:r w:rsidRPr="00F518E8">
                <w:rPr>
                  <w:rStyle w:val="Hyperlink"/>
                  <w:rFonts w:ascii="Arial" w:hAnsi="Arial" w:cs="Arial"/>
                  <w:color w:val="6C6361"/>
                  <w:sz w:val="24"/>
                  <w:szCs w:val="24"/>
                  <w:u w:val="none"/>
                </w:rPr>
                <w:t xml:space="preserve">Sandra Marco </w:t>
              </w:r>
              <w:proofErr w:type="spellStart"/>
              <w:r w:rsidRPr="00F518E8">
                <w:rPr>
                  <w:rStyle w:val="Hyperlink"/>
                  <w:rFonts w:ascii="Arial" w:hAnsi="Arial" w:cs="Arial"/>
                  <w:color w:val="6C6361"/>
                  <w:sz w:val="24"/>
                  <w:szCs w:val="24"/>
                  <w:u w:val="none"/>
                </w:rPr>
                <w:t>Colino</w:t>
              </w:r>
              <w:proofErr w:type="spellEnd"/>
            </w:hyperlink>
            <w:r w:rsidRPr="00B8559C">
              <w:rPr>
                <w:rFonts w:ascii="Arial" w:hAnsi="Arial" w:cs="Arial"/>
                <w:color w:val="524B48"/>
                <w:sz w:val="24"/>
                <w:szCs w:val="24"/>
              </w:rPr>
              <w:t>,</w:t>
            </w:r>
          </w:p>
          <w:p w:rsidR="00E00B56" w:rsidRDefault="00E00B56" w:rsidP="008222D3">
            <w:pPr>
              <w:jc w:val="center"/>
              <w:rPr>
                <w:rFonts w:ascii="Arial" w:hAnsi="Arial" w:cs="Arial"/>
                <w:color w:val="6C6361"/>
                <w:sz w:val="24"/>
                <w:szCs w:val="24"/>
              </w:rPr>
            </w:pPr>
            <w:r>
              <w:rPr>
                <w:rFonts w:ascii="Arial" w:hAnsi="Arial" w:cs="Arial"/>
                <w:color w:val="6C6361"/>
                <w:sz w:val="24"/>
                <w:szCs w:val="24"/>
              </w:rPr>
              <w:t>Assistant Professor,</w:t>
            </w:r>
          </w:p>
          <w:p w:rsidR="00E00B56" w:rsidRDefault="00E00B56" w:rsidP="008222D3">
            <w:pPr>
              <w:jc w:val="center"/>
              <w:rPr>
                <w:rFonts w:ascii="Arial" w:hAnsi="Arial" w:cs="Arial"/>
                <w:color w:val="6C6361"/>
                <w:sz w:val="24"/>
                <w:szCs w:val="24"/>
              </w:rPr>
            </w:pPr>
            <w:r w:rsidRPr="00F518E8">
              <w:rPr>
                <w:rFonts w:ascii="Arial" w:hAnsi="Arial" w:cs="Arial"/>
                <w:color w:val="6C6361"/>
                <w:sz w:val="24"/>
                <w:szCs w:val="24"/>
              </w:rPr>
              <w:t>The</w:t>
            </w:r>
            <w:r>
              <w:rPr>
                <w:rFonts w:ascii="Arial" w:hAnsi="Arial" w:cs="Arial"/>
                <w:color w:val="6C6361"/>
                <w:sz w:val="24"/>
                <w:szCs w:val="24"/>
              </w:rPr>
              <w:t xml:space="preserve"> Chinese University of Hong Kong</w:t>
            </w:r>
          </w:p>
          <w:p w:rsidR="00E00B56" w:rsidRPr="005455CF" w:rsidRDefault="00E00B56" w:rsidP="008222D3">
            <w:pPr>
              <w:jc w:val="center"/>
              <w:rPr>
                <w:rFonts w:ascii="Arial" w:hAnsi="Arial" w:cs="Arial"/>
                <w:color w:val="6C6361"/>
                <w:sz w:val="8"/>
                <w:szCs w:val="8"/>
              </w:rPr>
            </w:pPr>
          </w:p>
        </w:tc>
        <w:tc>
          <w:tcPr>
            <w:tcW w:w="5954" w:type="dxa"/>
            <w:shd w:val="clear" w:color="auto" w:fill="FFFFFF"/>
            <w:vAlign w:val="center"/>
          </w:tcPr>
          <w:p w:rsidR="00E00B56" w:rsidRPr="00D50772" w:rsidRDefault="00E00B56" w:rsidP="008222D3">
            <w:pPr>
              <w:spacing w:line="276" w:lineRule="auto"/>
              <w:jc w:val="center"/>
              <w:rPr>
                <w:rFonts w:ascii="Arial" w:eastAsia="Times New Roman" w:hAnsi="Arial" w:cs="Arial"/>
                <w:noProof/>
                <w:sz w:val="20"/>
                <w:szCs w:val="20"/>
              </w:rPr>
            </w:pPr>
            <w:r w:rsidRPr="00362CBA">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01546B66" wp14:editId="1EA8D670">
                  <wp:simplePos x="0" y="0"/>
                  <wp:positionH relativeFrom="column">
                    <wp:posOffset>3175635</wp:posOffset>
                  </wp:positionH>
                  <wp:positionV relativeFrom="paragraph">
                    <wp:posOffset>-160020</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E374ADF" wp14:editId="3A403D98">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E00B56" w:rsidRPr="003A43BD" w:rsidRDefault="00E00B56" w:rsidP="00E00B56">
      <w:pPr>
        <w:spacing w:line="276" w:lineRule="auto"/>
        <w:jc w:val="left"/>
        <w:rPr>
          <w:rFonts w:ascii="Arial" w:hAnsi="Arial" w:cs="Arial"/>
          <w:sz w:val="24"/>
        </w:rPr>
      </w:pPr>
    </w:p>
    <w:tbl>
      <w:tblPr>
        <w:tblW w:w="10773" w:type="dxa"/>
        <w:jc w:val="center"/>
        <w:tblLook w:val="04A0" w:firstRow="1" w:lastRow="0" w:firstColumn="1" w:lastColumn="0" w:noHBand="0" w:noVBand="1"/>
      </w:tblPr>
      <w:tblGrid>
        <w:gridCol w:w="1985"/>
        <w:gridCol w:w="8788"/>
      </w:tblGrid>
      <w:tr w:rsidR="00E00B56" w:rsidRPr="003A43BD" w:rsidTr="008222D3">
        <w:trPr>
          <w:trHeight w:val="2846"/>
          <w:jc w:val="center"/>
        </w:trPr>
        <w:tc>
          <w:tcPr>
            <w:tcW w:w="1985" w:type="dxa"/>
            <w:shd w:val="clear" w:color="auto" w:fill="FFFFFF"/>
            <w:vAlign w:val="center"/>
          </w:tcPr>
          <w:p w:rsidR="00E00B56" w:rsidRPr="003A43BD" w:rsidRDefault="00E00B56" w:rsidP="008222D3">
            <w:pPr>
              <w:spacing w:line="276" w:lineRule="auto"/>
              <w:jc w:val="center"/>
              <w:rPr>
                <w:rFonts w:ascii="Arial" w:hAnsi="Arial" w:cs="Arial"/>
                <w:sz w:val="24"/>
                <w:szCs w:val="20"/>
              </w:rPr>
            </w:pPr>
            <w:r w:rsidRPr="003A43BD">
              <w:rPr>
                <w:rFonts w:ascii="Arial" w:hAnsi="Arial" w:cs="Arial"/>
                <w:noProof/>
                <w:sz w:val="24"/>
                <w:szCs w:val="20"/>
              </w:rPr>
              <w:drawing>
                <wp:inline distT="0" distB="0" distL="0" distR="0" wp14:anchorId="4D87B3A7" wp14:editId="6A03F9CA">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E00B56" w:rsidRPr="003A43BD" w:rsidRDefault="00E00B56" w:rsidP="008222D3">
            <w:pPr>
              <w:pStyle w:val="NormalWeb"/>
              <w:rPr>
                <w:rFonts w:ascii="Arial" w:hAnsi="Arial" w:cs="Arial"/>
                <w:color w:val="6C6361"/>
                <w:szCs w:val="20"/>
              </w:rPr>
            </w:pPr>
            <w:r w:rsidRPr="003A43BD">
              <w:rPr>
                <w:rFonts w:ascii="Arial" w:hAnsi="Arial" w:cs="Arial"/>
                <w:color w:val="6C6361"/>
                <w:szCs w:val="20"/>
              </w:rPr>
              <w:t xml:space="preserve">Sandra Marco </w:t>
            </w:r>
            <w:proofErr w:type="spellStart"/>
            <w:r w:rsidRPr="003A43BD">
              <w:rPr>
                <w:rFonts w:ascii="Arial" w:hAnsi="Arial" w:cs="Arial"/>
                <w:color w:val="6C6361"/>
                <w:szCs w:val="20"/>
              </w:rPr>
              <w:t>Colino</w:t>
            </w:r>
            <w:proofErr w:type="spellEnd"/>
            <w:r w:rsidRPr="003A43BD">
              <w:rPr>
                <w:rFonts w:ascii="Arial" w:hAnsi="Arial" w:cs="Arial"/>
                <w:color w:val="6C6361"/>
                <w:szCs w:val="20"/>
              </w:rPr>
              <w:t xml:space="preserve"> is Assistant Professor at the Faculty of Law of the Chinese University Hong Kong.  She is the Director of the Centre for Financial Regulation and Economic Development, and the founding Deputy Director of the European Union Academic </w:t>
            </w:r>
            <w:proofErr w:type="spellStart"/>
            <w:r w:rsidRPr="003A43BD">
              <w:rPr>
                <w:rFonts w:ascii="Arial" w:hAnsi="Arial" w:cs="Arial"/>
                <w:color w:val="6C6361"/>
                <w:szCs w:val="20"/>
              </w:rPr>
              <w:t>Programme</w:t>
            </w:r>
            <w:proofErr w:type="spellEnd"/>
            <w:r w:rsidRPr="003A43BD">
              <w:rPr>
                <w:rFonts w:ascii="Arial" w:hAnsi="Arial" w:cs="Arial"/>
                <w:color w:val="6C6361"/>
                <w:szCs w:val="20"/>
              </w:rPr>
              <w:t xml:space="preserve"> in Hong Kong.  She specializes in competition law, telecommunications law and European Union law.  She holds a PhD from the European University Institute and a Master's Degree (LL.M.) from the University Carlos III of Madrid.  She was recently appointed Non-Governmental Adviser for Hong Kong to the International Competition Network, and is a member of the Academic Society for Competition Law.</w:t>
            </w:r>
          </w:p>
        </w:tc>
      </w:tr>
    </w:tbl>
    <w:p w:rsidR="00E00B56" w:rsidRPr="003A43BD" w:rsidRDefault="00E00B56" w:rsidP="00E00B56">
      <w:pPr>
        <w:spacing w:line="276" w:lineRule="auto"/>
        <w:contextualSpacing/>
        <w:jc w:val="left"/>
        <w:rPr>
          <w:rFonts w:ascii="Arial" w:hAnsi="Arial" w:cs="Arial"/>
          <w:sz w:val="24"/>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E00B56" w:rsidRPr="003A43BD" w:rsidTr="008222D3">
        <w:trPr>
          <w:trHeight w:val="397"/>
          <w:jc w:val="center"/>
        </w:trPr>
        <w:tc>
          <w:tcPr>
            <w:tcW w:w="10773" w:type="dxa"/>
            <w:tcBorders>
              <w:top w:val="nil"/>
            </w:tcBorders>
            <w:shd w:val="clear" w:color="auto" w:fill="F0EBE1"/>
            <w:vAlign w:val="center"/>
          </w:tcPr>
          <w:p w:rsidR="00E00B56" w:rsidRPr="003A43BD" w:rsidRDefault="00E00B56" w:rsidP="008222D3">
            <w:pPr>
              <w:spacing w:line="276" w:lineRule="auto"/>
              <w:jc w:val="left"/>
              <w:rPr>
                <w:rFonts w:ascii="Arial" w:hAnsi="Arial" w:cs="Arial"/>
                <w:b/>
                <w:color w:val="524B48"/>
                <w:sz w:val="24"/>
                <w:szCs w:val="20"/>
              </w:rPr>
            </w:pPr>
            <w:r w:rsidRPr="003A43BD">
              <w:rPr>
                <w:rFonts w:ascii="Arial" w:hAnsi="Arial" w:cs="Arial"/>
                <w:b/>
                <w:color w:val="524B48"/>
                <w:sz w:val="24"/>
                <w:szCs w:val="20"/>
              </w:rPr>
              <w:t>Course Objective:</w:t>
            </w:r>
          </w:p>
        </w:tc>
      </w:tr>
      <w:tr w:rsidR="00E00B56" w:rsidRPr="003A43BD" w:rsidTr="008222D3">
        <w:trPr>
          <w:trHeight w:val="1551"/>
          <w:jc w:val="center"/>
        </w:trPr>
        <w:tc>
          <w:tcPr>
            <w:tcW w:w="10773" w:type="dxa"/>
            <w:tcBorders>
              <w:bottom w:val="nil"/>
            </w:tcBorders>
            <w:shd w:val="clear" w:color="auto" w:fill="FFFFFF"/>
            <w:vAlign w:val="center"/>
          </w:tcPr>
          <w:p w:rsidR="00E00B56" w:rsidRPr="003A43BD" w:rsidRDefault="00E00B56" w:rsidP="008222D3">
            <w:pPr>
              <w:spacing w:line="276" w:lineRule="auto"/>
              <w:rPr>
                <w:rFonts w:ascii="Arial" w:hAnsi="Arial" w:cs="Arial"/>
                <w:color w:val="6C6361"/>
                <w:sz w:val="24"/>
                <w:szCs w:val="20"/>
              </w:rPr>
            </w:pPr>
            <w:r w:rsidRPr="003A43BD">
              <w:rPr>
                <w:rFonts w:ascii="Arial" w:hAnsi="Arial" w:cs="Arial"/>
                <w:color w:val="6C6361"/>
                <w:sz w:val="24"/>
                <w:szCs w:val="20"/>
              </w:rPr>
              <w:t>This course aims to provide a solid introduction to the application of the Hong Kong Competition Ordinance, in force since December 2015.  It will draw from International experience and general competition law principles in order to furnish participants with a thorough understanding of the aims of the new legislation, how it operates and the consequences it will have for Hong Kong.</w:t>
            </w:r>
          </w:p>
        </w:tc>
      </w:tr>
    </w:tbl>
    <w:p w:rsidR="00E00B56" w:rsidRPr="003A43BD" w:rsidRDefault="00E00B56" w:rsidP="00E00B56">
      <w:pPr>
        <w:spacing w:line="276" w:lineRule="auto"/>
        <w:contextualSpacing/>
        <w:jc w:val="left"/>
        <w:rPr>
          <w:rFonts w:ascii="Arial" w:hAnsi="Arial" w:cs="Arial"/>
          <w:sz w:val="24"/>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E00B56" w:rsidRPr="003A43BD" w:rsidTr="008222D3">
        <w:trPr>
          <w:trHeight w:val="397"/>
          <w:jc w:val="center"/>
        </w:trPr>
        <w:tc>
          <w:tcPr>
            <w:tcW w:w="10773" w:type="dxa"/>
            <w:tcBorders>
              <w:top w:val="nil"/>
            </w:tcBorders>
            <w:shd w:val="clear" w:color="auto" w:fill="F0EBE1"/>
            <w:vAlign w:val="center"/>
          </w:tcPr>
          <w:p w:rsidR="00E00B56" w:rsidRPr="003A43BD" w:rsidRDefault="00E00B56" w:rsidP="008222D3">
            <w:pPr>
              <w:spacing w:line="276" w:lineRule="auto"/>
              <w:jc w:val="left"/>
              <w:rPr>
                <w:rFonts w:ascii="Arial" w:hAnsi="Arial" w:cs="Arial"/>
                <w:b/>
                <w:color w:val="524B48"/>
                <w:sz w:val="24"/>
                <w:szCs w:val="20"/>
              </w:rPr>
            </w:pPr>
            <w:r w:rsidRPr="003A43BD">
              <w:rPr>
                <w:rFonts w:ascii="Arial" w:hAnsi="Arial" w:cs="Arial"/>
                <w:b/>
                <w:color w:val="524B48"/>
                <w:sz w:val="24"/>
                <w:szCs w:val="20"/>
              </w:rPr>
              <w:t>Course Outline:</w:t>
            </w:r>
          </w:p>
        </w:tc>
      </w:tr>
      <w:tr w:rsidR="00E00B56" w:rsidRPr="003A43BD" w:rsidTr="008222D3">
        <w:trPr>
          <w:trHeight w:val="3176"/>
          <w:jc w:val="center"/>
        </w:trPr>
        <w:tc>
          <w:tcPr>
            <w:tcW w:w="10773" w:type="dxa"/>
            <w:tcBorders>
              <w:top w:val="nil"/>
            </w:tcBorders>
            <w:shd w:val="clear" w:color="auto" w:fill="FFFFFF" w:themeFill="background1"/>
            <w:vAlign w:val="center"/>
          </w:tcPr>
          <w:p w:rsidR="00E00B56" w:rsidRPr="003A43BD" w:rsidRDefault="00E00B56" w:rsidP="008222D3">
            <w:pPr>
              <w:spacing w:line="276" w:lineRule="auto"/>
              <w:rPr>
                <w:rFonts w:ascii="Arial" w:eastAsia="Times New Roman" w:hAnsi="Arial" w:cs="Arial"/>
                <w:color w:val="6C6361"/>
                <w:sz w:val="24"/>
                <w:szCs w:val="20"/>
              </w:rPr>
            </w:pPr>
            <w:r w:rsidRPr="003A43BD">
              <w:rPr>
                <w:rFonts w:ascii="Arial" w:eastAsia="Times New Roman" w:hAnsi="Arial" w:cs="Arial"/>
                <w:color w:val="6C6361"/>
                <w:sz w:val="24"/>
                <w:szCs w:val="20"/>
              </w:rPr>
              <w:t xml:space="preserve">Free market economic theory and practice pervades international commerce in an unprecedented and increasingly </w:t>
            </w:r>
            <w:proofErr w:type="spellStart"/>
            <w:r w:rsidRPr="003A43BD">
              <w:rPr>
                <w:rFonts w:ascii="Arial" w:eastAsia="Times New Roman" w:hAnsi="Arial" w:cs="Arial"/>
                <w:color w:val="6C6361"/>
                <w:sz w:val="24"/>
                <w:szCs w:val="20"/>
              </w:rPr>
              <w:t>globalised</w:t>
            </w:r>
            <w:proofErr w:type="spellEnd"/>
            <w:r w:rsidRPr="003A43BD">
              <w:rPr>
                <w:rFonts w:ascii="Arial" w:eastAsia="Times New Roman" w:hAnsi="Arial" w:cs="Arial"/>
                <w:color w:val="6C6361"/>
                <w:sz w:val="24"/>
                <w:szCs w:val="20"/>
              </w:rPr>
              <w:t xml:space="preserve"> manner.  A cornerstone of free market economic theory is the necessity to remove distortions to competition stemming from anti-competitive agreements and abusive practices.</w:t>
            </w:r>
          </w:p>
          <w:p w:rsidR="00E00B56" w:rsidRPr="003A43BD" w:rsidRDefault="00E00B56" w:rsidP="008222D3">
            <w:pPr>
              <w:spacing w:line="276" w:lineRule="auto"/>
              <w:rPr>
                <w:rFonts w:ascii="Arial" w:eastAsia="Times New Roman" w:hAnsi="Arial" w:cs="Arial"/>
                <w:color w:val="6C6361"/>
                <w:sz w:val="24"/>
                <w:szCs w:val="20"/>
              </w:rPr>
            </w:pPr>
          </w:p>
          <w:p w:rsidR="00E00B56" w:rsidRPr="003A43BD" w:rsidRDefault="00E00B56" w:rsidP="008222D3">
            <w:pPr>
              <w:spacing w:line="276" w:lineRule="auto"/>
              <w:rPr>
                <w:rFonts w:ascii="Arial" w:eastAsia="Times New Roman" w:hAnsi="Arial" w:cs="Arial"/>
                <w:color w:val="6C6361"/>
                <w:sz w:val="24"/>
                <w:szCs w:val="20"/>
              </w:rPr>
            </w:pPr>
            <w:r w:rsidRPr="003A43BD">
              <w:rPr>
                <w:rFonts w:ascii="Arial" w:eastAsia="Times New Roman" w:hAnsi="Arial" w:cs="Arial"/>
                <w:color w:val="6C6361"/>
                <w:sz w:val="24"/>
                <w:szCs w:val="20"/>
              </w:rPr>
              <w:t>This course focuses on the substantive and procedural aspects of the Hong Kong Competition Ordinance, the first ever cross-sector competition law of this jurisdiction.  To fully understand its implications, the theoretical underpinnings of competition law and policy will be examined, drawing from other selected jurisdictions such as the United States, the European Union and Mainland China.</w:t>
            </w:r>
          </w:p>
        </w:tc>
      </w:tr>
    </w:tbl>
    <w:p w:rsidR="00E00B56" w:rsidRPr="003A43BD" w:rsidRDefault="00E00B56" w:rsidP="00E00B56">
      <w:pPr>
        <w:spacing w:line="276" w:lineRule="auto"/>
        <w:rPr>
          <w:rFonts w:ascii="Arial" w:hAnsi="Arial" w:cs="Arial"/>
          <w:sz w:val="24"/>
        </w:rPr>
      </w:pPr>
    </w:p>
    <w:p w:rsidR="00E00B56" w:rsidRPr="003A43BD" w:rsidRDefault="00E00B56" w:rsidP="00E00B56">
      <w:pPr>
        <w:spacing w:line="276" w:lineRule="auto"/>
        <w:rPr>
          <w:rFonts w:ascii="Arial" w:hAnsi="Arial" w:cs="Arial"/>
          <w:sz w:val="24"/>
        </w:rPr>
      </w:pPr>
    </w:p>
    <w:p w:rsidR="00E00B56" w:rsidRPr="003A43BD" w:rsidRDefault="00E00B56" w:rsidP="00E00B56">
      <w:pPr>
        <w:spacing w:line="276" w:lineRule="auto"/>
        <w:rPr>
          <w:rFonts w:ascii="Arial" w:hAnsi="Arial" w:cs="Arial"/>
          <w:sz w:val="24"/>
        </w:rPr>
      </w:pPr>
    </w:p>
    <w:p w:rsidR="00E00B56" w:rsidRPr="003A43BD" w:rsidRDefault="00E00B56" w:rsidP="00E00B56">
      <w:pPr>
        <w:spacing w:line="276" w:lineRule="auto"/>
        <w:rPr>
          <w:rFonts w:ascii="Arial" w:hAnsi="Arial" w:cs="Arial"/>
          <w:sz w:val="24"/>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E00B56" w:rsidRPr="003A43BD" w:rsidTr="008222D3">
        <w:trPr>
          <w:trHeight w:val="397"/>
          <w:jc w:val="center"/>
        </w:trPr>
        <w:tc>
          <w:tcPr>
            <w:tcW w:w="10773" w:type="dxa"/>
            <w:gridSpan w:val="2"/>
            <w:tcBorders>
              <w:top w:val="nil"/>
            </w:tcBorders>
            <w:shd w:val="clear" w:color="auto" w:fill="F0EBE1"/>
            <w:vAlign w:val="center"/>
          </w:tcPr>
          <w:p w:rsidR="00E00B56" w:rsidRPr="003A43BD" w:rsidRDefault="00E00B56" w:rsidP="008222D3">
            <w:pPr>
              <w:spacing w:line="276" w:lineRule="auto"/>
              <w:jc w:val="left"/>
              <w:rPr>
                <w:rFonts w:ascii="Arial" w:hAnsi="Arial" w:cs="Arial"/>
                <w:b/>
                <w:color w:val="524B48"/>
                <w:sz w:val="24"/>
                <w:szCs w:val="20"/>
              </w:rPr>
            </w:pPr>
            <w:r w:rsidRPr="003A43BD">
              <w:rPr>
                <w:rFonts w:ascii="Arial" w:hAnsi="Arial" w:cs="Arial"/>
                <w:b/>
                <w:color w:val="524B48"/>
                <w:sz w:val="24"/>
                <w:szCs w:val="20"/>
              </w:rPr>
              <w:lastRenderedPageBreak/>
              <w:t xml:space="preserve">This </w:t>
            </w:r>
            <w:proofErr w:type="spellStart"/>
            <w:r w:rsidRPr="003A43BD">
              <w:rPr>
                <w:rFonts w:ascii="Arial" w:hAnsi="Arial" w:cs="Arial"/>
                <w:b/>
                <w:color w:val="524B48"/>
                <w:sz w:val="24"/>
                <w:szCs w:val="20"/>
              </w:rPr>
              <w:t>programme</w:t>
            </w:r>
            <w:proofErr w:type="spellEnd"/>
            <w:r w:rsidRPr="003A43BD">
              <w:rPr>
                <w:rFonts w:ascii="Arial" w:hAnsi="Arial" w:cs="Arial"/>
                <w:b/>
                <w:color w:val="524B48"/>
                <w:sz w:val="24"/>
                <w:szCs w:val="20"/>
              </w:rPr>
              <w:t xml:space="preserve"> will take in the following:</w:t>
            </w:r>
          </w:p>
        </w:tc>
      </w:tr>
      <w:tr w:rsidR="00E00B56" w:rsidRPr="003A43BD" w:rsidTr="008222D3">
        <w:trPr>
          <w:trHeight w:val="2301"/>
          <w:jc w:val="center"/>
        </w:trPr>
        <w:tc>
          <w:tcPr>
            <w:tcW w:w="9072" w:type="dxa"/>
            <w:tcBorders>
              <w:bottom w:val="nil"/>
              <w:right w:val="nil"/>
            </w:tcBorders>
            <w:shd w:val="clear" w:color="auto" w:fill="FFFFFF"/>
            <w:vAlign w:val="center"/>
          </w:tcPr>
          <w:p w:rsidR="00E00B56" w:rsidRPr="003A43BD" w:rsidRDefault="00E00B56" w:rsidP="008222D3">
            <w:pPr>
              <w:pStyle w:val="ListParagraph"/>
              <w:numPr>
                <w:ilvl w:val="0"/>
                <w:numId w:val="2"/>
              </w:numPr>
              <w:spacing w:line="276" w:lineRule="auto"/>
              <w:rPr>
                <w:rFonts w:ascii="Arial" w:hAnsi="Arial" w:cs="Arial"/>
                <w:color w:val="6C6361"/>
                <w:sz w:val="24"/>
                <w:szCs w:val="20"/>
              </w:rPr>
            </w:pPr>
            <w:r w:rsidRPr="003A43BD">
              <w:rPr>
                <w:rFonts w:ascii="Arial" w:hAnsi="Arial" w:cs="Arial"/>
                <w:color w:val="6C6361"/>
                <w:sz w:val="24"/>
                <w:szCs w:val="20"/>
              </w:rPr>
              <w:t>Introduction to competition law and policy</w:t>
            </w:r>
          </w:p>
          <w:p w:rsidR="00E00B56" w:rsidRPr="003A43BD" w:rsidRDefault="00E00B56" w:rsidP="008222D3">
            <w:pPr>
              <w:pStyle w:val="ListParagraph"/>
              <w:numPr>
                <w:ilvl w:val="0"/>
                <w:numId w:val="2"/>
              </w:numPr>
              <w:spacing w:line="276" w:lineRule="auto"/>
              <w:rPr>
                <w:rFonts w:ascii="Arial" w:hAnsi="Arial" w:cs="Arial"/>
                <w:color w:val="6C6361"/>
                <w:sz w:val="24"/>
                <w:szCs w:val="20"/>
              </w:rPr>
            </w:pPr>
            <w:r w:rsidRPr="003A43BD">
              <w:rPr>
                <w:rFonts w:ascii="Arial" w:hAnsi="Arial" w:cs="Arial"/>
                <w:color w:val="6C6361"/>
                <w:sz w:val="24"/>
                <w:szCs w:val="20"/>
              </w:rPr>
              <w:t>Introduction to the economics of competition law</w:t>
            </w:r>
          </w:p>
          <w:p w:rsidR="00E00B56" w:rsidRPr="003A43BD" w:rsidRDefault="00E00B56" w:rsidP="008222D3">
            <w:pPr>
              <w:pStyle w:val="ListParagraph"/>
              <w:numPr>
                <w:ilvl w:val="0"/>
                <w:numId w:val="2"/>
              </w:numPr>
              <w:spacing w:line="276" w:lineRule="auto"/>
              <w:rPr>
                <w:rFonts w:ascii="Arial" w:hAnsi="Arial" w:cs="Arial"/>
                <w:color w:val="6C6361"/>
                <w:sz w:val="24"/>
                <w:szCs w:val="20"/>
              </w:rPr>
            </w:pPr>
            <w:r w:rsidRPr="003A43BD">
              <w:rPr>
                <w:rFonts w:ascii="Arial" w:hAnsi="Arial" w:cs="Arial"/>
                <w:color w:val="6C6361"/>
                <w:sz w:val="24"/>
                <w:szCs w:val="20"/>
              </w:rPr>
              <w:t>The Hong Kong Competition Ordinance</w:t>
            </w:r>
          </w:p>
          <w:p w:rsidR="00E00B56" w:rsidRPr="003A43BD" w:rsidRDefault="00E00B56" w:rsidP="008222D3">
            <w:pPr>
              <w:pStyle w:val="ListParagraph"/>
              <w:numPr>
                <w:ilvl w:val="1"/>
                <w:numId w:val="2"/>
              </w:numPr>
              <w:spacing w:line="276" w:lineRule="auto"/>
              <w:rPr>
                <w:rFonts w:ascii="Arial" w:hAnsi="Arial" w:cs="Arial"/>
                <w:color w:val="6C6361"/>
                <w:sz w:val="24"/>
                <w:szCs w:val="20"/>
              </w:rPr>
            </w:pPr>
            <w:r w:rsidRPr="003A43BD">
              <w:rPr>
                <w:rFonts w:ascii="Arial" w:hAnsi="Arial" w:cs="Arial"/>
                <w:color w:val="6C6361"/>
                <w:sz w:val="24"/>
                <w:szCs w:val="20"/>
              </w:rPr>
              <w:t>The principal substantive provisions: The Chapter I and Chapter II prohibitions</w:t>
            </w:r>
          </w:p>
          <w:p w:rsidR="00E00B56" w:rsidRPr="003A43BD" w:rsidRDefault="00E00B56" w:rsidP="008222D3">
            <w:pPr>
              <w:pStyle w:val="ListParagraph"/>
              <w:numPr>
                <w:ilvl w:val="1"/>
                <w:numId w:val="2"/>
              </w:numPr>
              <w:spacing w:line="276" w:lineRule="auto"/>
              <w:rPr>
                <w:rFonts w:ascii="Arial" w:hAnsi="Arial" w:cs="Arial"/>
                <w:color w:val="6C6361"/>
                <w:sz w:val="24"/>
                <w:szCs w:val="20"/>
              </w:rPr>
            </w:pPr>
            <w:r w:rsidRPr="003A43BD">
              <w:rPr>
                <w:rFonts w:ascii="Arial" w:hAnsi="Arial" w:cs="Arial"/>
                <w:color w:val="6C6361"/>
                <w:sz w:val="24"/>
                <w:szCs w:val="20"/>
              </w:rPr>
              <w:t>Enforcement: institutional framework, investigations and penalties</w:t>
            </w:r>
          </w:p>
          <w:p w:rsidR="00E00B56" w:rsidRPr="003A43BD" w:rsidRDefault="00E00B56" w:rsidP="008222D3">
            <w:pPr>
              <w:pStyle w:val="ListParagraph"/>
              <w:numPr>
                <w:ilvl w:val="0"/>
                <w:numId w:val="2"/>
              </w:numPr>
              <w:spacing w:line="276" w:lineRule="auto"/>
              <w:rPr>
                <w:rFonts w:ascii="Arial" w:hAnsi="Arial" w:cs="Arial"/>
                <w:color w:val="6C6361"/>
                <w:sz w:val="24"/>
                <w:szCs w:val="20"/>
              </w:rPr>
            </w:pPr>
            <w:r w:rsidRPr="003A43BD">
              <w:rPr>
                <w:rFonts w:ascii="Arial" w:hAnsi="Arial" w:cs="Arial"/>
                <w:color w:val="6C6361"/>
                <w:sz w:val="24"/>
                <w:szCs w:val="20"/>
              </w:rPr>
              <w:t>International experience in the application of competition law</w:t>
            </w:r>
          </w:p>
        </w:tc>
        <w:tc>
          <w:tcPr>
            <w:tcW w:w="1701" w:type="dxa"/>
            <w:tcBorders>
              <w:left w:val="nil"/>
              <w:bottom w:val="nil"/>
            </w:tcBorders>
            <w:shd w:val="clear" w:color="auto" w:fill="FFFFFF"/>
            <w:vAlign w:val="bottom"/>
          </w:tcPr>
          <w:p w:rsidR="00E00B56" w:rsidRDefault="00E00B56" w:rsidP="008222D3">
            <w:pPr>
              <w:spacing w:line="276" w:lineRule="auto"/>
              <w:jc w:val="center"/>
              <w:rPr>
                <w:rFonts w:ascii="Arial" w:hAnsi="Arial" w:cs="Arial"/>
                <w:color w:val="6C6361"/>
                <w:sz w:val="24"/>
                <w:szCs w:val="20"/>
              </w:rPr>
            </w:pPr>
            <w:r w:rsidRPr="00362CBA">
              <w:rPr>
                <w:rFonts w:ascii="Arial" w:hAnsi="Arial" w:cs="Arial"/>
                <w:noProof/>
                <w:color w:val="6C6361"/>
                <w:sz w:val="24"/>
                <w:szCs w:val="20"/>
              </w:rPr>
              <w:drawing>
                <wp:inline distT="0" distB="0" distL="0" distR="0" wp14:anchorId="35929858" wp14:editId="53EB3944">
                  <wp:extent cx="896400" cy="10224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p w:rsidR="00E00B56" w:rsidRPr="00362CBA" w:rsidRDefault="00E00B56" w:rsidP="008222D3">
            <w:pPr>
              <w:spacing w:line="276" w:lineRule="auto"/>
              <w:jc w:val="center"/>
              <w:rPr>
                <w:rFonts w:ascii="Arial" w:hAnsi="Arial" w:cs="Arial"/>
                <w:color w:val="6C6361"/>
                <w:sz w:val="10"/>
                <w:szCs w:val="20"/>
              </w:rPr>
            </w:pPr>
          </w:p>
        </w:tc>
      </w:tr>
    </w:tbl>
    <w:p w:rsidR="00E00B56" w:rsidRPr="003A43BD" w:rsidRDefault="00E00B56" w:rsidP="00E00B56">
      <w:pPr>
        <w:spacing w:line="276" w:lineRule="auto"/>
        <w:rPr>
          <w:rFonts w:ascii="Arial" w:hAnsi="Arial" w:cs="Arial"/>
          <w:sz w:val="2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7"/>
        <w:gridCol w:w="2886"/>
        <w:gridCol w:w="794"/>
        <w:gridCol w:w="1701"/>
        <w:gridCol w:w="2455"/>
        <w:gridCol w:w="1239"/>
      </w:tblGrid>
      <w:tr w:rsidR="00E00B56" w:rsidRPr="005A2F25" w:rsidTr="008222D3">
        <w:trPr>
          <w:trHeight w:val="397"/>
          <w:jc w:val="center"/>
        </w:trPr>
        <w:tc>
          <w:tcPr>
            <w:tcW w:w="1701" w:type="dxa"/>
            <w:tcBorders>
              <w:top w:val="nil"/>
              <w:left w:val="nil"/>
              <w:bottom w:val="single" w:sz="12" w:space="0" w:color="FFFFFF"/>
            </w:tcBorders>
            <w:shd w:val="clear" w:color="auto" w:fill="F0EBE1"/>
            <w:vAlign w:val="center"/>
          </w:tcPr>
          <w:p w:rsidR="00E00B56" w:rsidRPr="002343EF"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E00B56" w:rsidRPr="002343EF"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EVT000000133</w:t>
            </w:r>
          </w:p>
        </w:tc>
        <w:tc>
          <w:tcPr>
            <w:tcW w:w="1701" w:type="dxa"/>
            <w:tcBorders>
              <w:top w:val="nil"/>
              <w:bottom w:val="single" w:sz="12" w:space="0" w:color="FFFFFF"/>
            </w:tcBorders>
            <w:shd w:val="clear" w:color="auto" w:fill="F0EBE1"/>
            <w:vAlign w:val="center"/>
          </w:tcPr>
          <w:p w:rsidR="00E00B56" w:rsidRPr="002343EF"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E00B56" w:rsidRPr="002343EF"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Standard</w:t>
            </w:r>
          </w:p>
        </w:tc>
      </w:tr>
      <w:tr w:rsidR="00E00B56" w:rsidRPr="005A2F25" w:rsidTr="008222D3">
        <w:trPr>
          <w:trHeight w:val="397"/>
          <w:jc w:val="center"/>
        </w:trPr>
        <w:tc>
          <w:tcPr>
            <w:tcW w:w="1701" w:type="dxa"/>
            <w:tcBorders>
              <w:top w:val="single" w:sz="12" w:space="0" w:color="FFFFFF"/>
              <w:left w:val="nil"/>
              <w:bottom w:val="single" w:sz="12" w:space="0" w:color="FFFFFF"/>
            </w:tcBorders>
            <w:shd w:val="clear" w:color="auto" w:fill="F0EBE1"/>
            <w:vAlign w:val="center"/>
          </w:tcPr>
          <w:p w:rsidR="00E00B56" w:rsidRPr="002343EF"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E00B56" w:rsidRPr="00482956"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6 June 2016 (Monday)</w:t>
            </w:r>
          </w:p>
        </w:tc>
        <w:tc>
          <w:tcPr>
            <w:tcW w:w="1701" w:type="dxa"/>
            <w:tcBorders>
              <w:top w:val="single" w:sz="12" w:space="0" w:color="FFFFFF"/>
              <w:bottom w:val="single" w:sz="12" w:space="0" w:color="FFFFFF"/>
            </w:tcBorders>
            <w:shd w:val="clear" w:color="auto" w:fill="F0EBE1"/>
            <w:vAlign w:val="center"/>
          </w:tcPr>
          <w:p w:rsidR="00E00B56" w:rsidRPr="002343EF"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E00B56" w:rsidRPr="002343EF"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English</w:t>
            </w:r>
          </w:p>
        </w:tc>
      </w:tr>
      <w:tr w:rsidR="00E00B56" w:rsidRPr="005A2F25" w:rsidTr="008222D3">
        <w:trPr>
          <w:trHeight w:val="397"/>
          <w:jc w:val="center"/>
        </w:trPr>
        <w:tc>
          <w:tcPr>
            <w:tcW w:w="1701" w:type="dxa"/>
            <w:tcBorders>
              <w:top w:val="single" w:sz="12" w:space="0" w:color="FFFFFF"/>
              <w:left w:val="nil"/>
              <w:bottom w:val="single" w:sz="12" w:space="0" w:color="FFFFFF"/>
            </w:tcBorders>
            <w:shd w:val="clear" w:color="auto" w:fill="F0EBE1"/>
            <w:vAlign w:val="center"/>
          </w:tcPr>
          <w:p w:rsidR="00E00B56" w:rsidRPr="002343EF"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E00B56"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14:30 - 17:45</w:t>
            </w:r>
          </w:p>
          <w:p w:rsidR="00E00B56" w:rsidRPr="00EC7ADB"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rsidR="00E00B56" w:rsidRPr="002343EF"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E00B56"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E00B56" w:rsidRPr="001460EB"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1460EB">
              <w:rPr>
                <w:rFonts w:ascii="Arial" w:hAnsi="Arial" w:cs="Arial"/>
                <w:color w:val="6C6361"/>
                <w:sz w:val="20"/>
                <w:szCs w:val="20"/>
              </w:rPr>
              <w:t>(LSHK Allocated Number: 20161569)</w:t>
            </w:r>
          </w:p>
          <w:p w:rsidR="00E00B56" w:rsidRPr="008E339C"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SFC 3.0 CPT Hours</w:t>
            </w:r>
          </w:p>
        </w:tc>
      </w:tr>
      <w:tr w:rsidR="00E00B56" w:rsidRPr="005A2F25" w:rsidTr="008222D3">
        <w:trPr>
          <w:trHeight w:val="1247"/>
          <w:jc w:val="center"/>
        </w:trPr>
        <w:tc>
          <w:tcPr>
            <w:tcW w:w="1701" w:type="dxa"/>
            <w:tcBorders>
              <w:top w:val="single" w:sz="12" w:space="0" w:color="FFFFFF"/>
              <w:left w:val="nil"/>
              <w:bottom w:val="nil"/>
            </w:tcBorders>
            <w:shd w:val="clear" w:color="auto" w:fill="F0EBE1"/>
            <w:vAlign w:val="center"/>
          </w:tcPr>
          <w:p w:rsidR="00E00B56" w:rsidRPr="002343EF"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E00B56" w:rsidRPr="00482956" w:rsidRDefault="00E00B56" w:rsidP="008222D3">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E00B56" w:rsidRPr="00F36D9A"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E00B56" w:rsidRPr="00F36D9A"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E00B56" w:rsidRPr="002343EF"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00B56" w:rsidRPr="00334CAE" w:rsidRDefault="00E00B56" w:rsidP="008222D3">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0200C29E" wp14:editId="7236E3DD">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00B56" w:rsidRPr="00334CAE" w:rsidRDefault="00E00B56" w:rsidP="008222D3">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E00B56" w:rsidRPr="003A2A41"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00B56" w:rsidRPr="003A2A41"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0" w:type="dxa"/>
            <w:tcBorders>
              <w:top w:val="single" w:sz="12" w:space="0" w:color="F0EBE1"/>
              <w:bottom w:val="nil"/>
              <w:right w:val="nil"/>
            </w:tcBorders>
            <w:shd w:val="clear" w:color="auto" w:fill="FFFFFF"/>
            <w:vAlign w:val="center"/>
          </w:tcPr>
          <w:p w:rsidR="00E00B56" w:rsidRPr="003A2A41"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00B56" w:rsidRPr="003A2A41"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25" w:type="dxa"/>
            <w:tcBorders>
              <w:top w:val="nil"/>
              <w:left w:val="nil"/>
              <w:bottom w:val="nil"/>
              <w:right w:val="nil"/>
            </w:tcBorders>
            <w:shd w:val="clear" w:color="auto" w:fill="FFFFFF"/>
            <w:vAlign w:val="center"/>
          </w:tcPr>
          <w:p w:rsidR="00E00B56" w:rsidRPr="00156567" w:rsidRDefault="00E00B56" w:rsidP="00822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3ED08588" wp14:editId="609F80B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00B56" w:rsidRDefault="00214BC6" w:rsidP="00E00B56"/>
    <w:sectPr w:rsidR="00214BC6" w:rsidRPr="00E00B5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E1E" w:rsidRDefault="001F6E1E" w:rsidP="00546556">
      <w:r>
        <w:separator/>
      </w:r>
    </w:p>
  </w:endnote>
  <w:endnote w:type="continuationSeparator" w:id="0">
    <w:p w:rsidR="001F6E1E" w:rsidRDefault="001F6E1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E1E" w:rsidRDefault="001F6E1E" w:rsidP="00546556">
      <w:r>
        <w:separator/>
      </w:r>
    </w:p>
  </w:footnote>
  <w:footnote w:type="continuationSeparator" w:id="0">
    <w:p w:rsidR="001F6E1E" w:rsidRDefault="001F6E1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jJb7a1noPW9oWC0onERrzOSEl9P/GFifsx4lq4/ky6kh5K2z4gWkKpbNCsN994vneQzPnlrgRtV/nz6DuLyteQ==" w:salt="fZPxtozodpYzysH/YxjPc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2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3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86627-14FB-4A37-AAF0-6B0E806DC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RME Elective Course: Solicitors' Accounts in General and Amendments Coming into Effect July 2016</vt:lpstr>
    </vt:vector>
  </TitlesOfParts>
  <Manager>Tyrone Tsang</Manager>
  <Company>The Profectional Company Limited</Company>
  <LinksUpToDate>false</LinksUpToDate>
  <CharactersWithSpaces>2924</CharactersWithSpaces>
  <SharedDoc>false</SharedDoc>
  <HyperlinkBase>http://download.profectional.com/events/EVT000000133.docx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Understanding Competition Law: An Introduction to the Hong Kong Competition Ordinance</dc:title>
  <dc:subject>CPD Course, CPT Course: Understanding Competition Law: An Introduction to the Hong Kong Competition Ordinance</dc:subject>
  <dc:creator>The Profectional Company Limited</dc:creator>
  <cp:keywords>Profectional; Kornerstone; CPD; CPT; CLE; CE; RME; Sandra Marco Colino;  Assistant Professor; The Chinese University of Hong Kong</cp:keywords>
  <cp:lastModifiedBy>Tyrone Tsang</cp:lastModifiedBy>
  <cp:revision>27</cp:revision>
  <cp:lastPrinted>2016-06-06T02:55:00Z</cp:lastPrinted>
  <dcterms:created xsi:type="dcterms:W3CDTF">2015-08-21T08:33:00Z</dcterms:created>
  <dcterms:modified xsi:type="dcterms:W3CDTF">2016-06-06T02:55:00Z</dcterms:modified>
</cp:coreProperties>
</file>