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4919" w:rsidRPr="002F4919" w:rsidRDefault="002F4919" w:rsidP="002F4919">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2F4919" w:rsidRPr="00523A64" w:rsidTr="00CA76AD">
        <w:trPr>
          <w:trHeight w:val="3119"/>
          <w:jc w:val="center"/>
        </w:trPr>
        <w:tc>
          <w:tcPr>
            <w:tcW w:w="4820" w:type="dxa"/>
            <w:shd w:val="clear" w:color="auto" w:fill="FFFFFF"/>
            <w:vAlign w:val="center"/>
          </w:tcPr>
          <w:p w:rsidR="002F4919" w:rsidRPr="008259A9" w:rsidRDefault="002F4919" w:rsidP="00CA76AD">
            <w:pPr>
              <w:jc w:val="center"/>
              <w:rPr>
                <w:rFonts w:ascii="Arial" w:hAnsi="Arial" w:cs="Arial"/>
                <w:b/>
                <w:bCs/>
                <w:color w:val="524B48"/>
                <w:sz w:val="4"/>
                <w:szCs w:val="4"/>
              </w:rPr>
            </w:pPr>
          </w:p>
          <w:p w:rsidR="002F4919" w:rsidRDefault="002F4919" w:rsidP="00CA76AD">
            <w:pPr>
              <w:jc w:val="center"/>
              <w:rPr>
                <w:rStyle w:val="Hyperlink"/>
                <w:rFonts w:ascii="Arial" w:hAnsi="Arial" w:cs="Arial"/>
                <w:b/>
                <w:bCs/>
                <w:color w:val="524B48"/>
                <w:sz w:val="32"/>
                <w:szCs w:val="32"/>
                <w:u w:val="none"/>
              </w:rPr>
            </w:pPr>
            <w:r>
              <w:fldChar w:fldCharType="begin"/>
            </w:r>
            <w:r>
              <w:instrText>HYPERLINK "http://cpd.hk/evt000000147/"</w:instrText>
            </w:r>
            <w:r>
              <w:fldChar w:fldCharType="separate"/>
            </w:r>
            <w:r>
              <w:rPr>
                <w:rStyle w:val="Hyperlink"/>
                <w:rFonts w:ascii="Arial" w:hAnsi="Arial" w:cs="Arial"/>
                <w:b/>
                <w:bCs/>
                <w:color w:val="524B48"/>
                <w:sz w:val="32"/>
                <w:szCs w:val="32"/>
                <w:u w:val="none"/>
              </w:rPr>
              <w:t xml:space="preserve">Leave and Standing </w:t>
            </w:r>
          </w:p>
          <w:p w:rsidR="002F4919" w:rsidRDefault="002F4919" w:rsidP="00CA76AD">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in</w:t>
            </w:r>
          </w:p>
          <w:p w:rsidR="002F4919" w:rsidRPr="00032DE4" w:rsidRDefault="002F4919" w:rsidP="00CA76AD">
            <w:pPr>
              <w:jc w:val="center"/>
              <w:rPr>
                <w:rFonts w:ascii="Arial" w:hAnsi="Arial" w:cs="Arial"/>
                <w:b/>
                <w:bCs/>
                <w:color w:val="524B48"/>
                <w:sz w:val="32"/>
                <w:szCs w:val="32"/>
              </w:rPr>
            </w:pPr>
            <w:r>
              <w:rPr>
                <w:rStyle w:val="Hyperlink"/>
                <w:rFonts w:ascii="Arial" w:hAnsi="Arial" w:cs="Arial"/>
                <w:b/>
                <w:bCs/>
                <w:color w:val="524B48"/>
                <w:sz w:val="32"/>
                <w:szCs w:val="32"/>
                <w:u w:val="none"/>
              </w:rPr>
              <w:t>Judicial Review</w:t>
            </w:r>
            <w:r>
              <w:rPr>
                <w:rStyle w:val="Hyperlink"/>
                <w:rFonts w:ascii="Arial" w:hAnsi="Arial" w:cs="Arial"/>
                <w:b/>
                <w:bCs/>
                <w:color w:val="524B48"/>
                <w:sz w:val="32"/>
                <w:szCs w:val="32"/>
                <w:u w:val="none"/>
              </w:rPr>
              <w:fldChar w:fldCharType="end"/>
            </w:r>
          </w:p>
          <w:p w:rsidR="002F4919" w:rsidRPr="00731F7F" w:rsidRDefault="002F4919" w:rsidP="00CA76AD">
            <w:pPr>
              <w:jc w:val="center"/>
              <w:rPr>
                <w:rFonts w:ascii="Arial" w:hAnsi="Arial" w:cs="Arial"/>
                <w:b/>
                <w:bCs/>
                <w:sz w:val="24"/>
                <w:szCs w:val="28"/>
              </w:rPr>
            </w:pPr>
          </w:p>
          <w:p w:rsidR="002F4919" w:rsidRPr="009D67FA" w:rsidRDefault="002F4919" w:rsidP="00CA76AD">
            <w:pPr>
              <w:jc w:val="center"/>
              <w:rPr>
                <w:rFonts w:ascii="Arial" w:hAnsi="Arial" w:cs="Arial"/>
                <w:i/>
                <w:color w:val="6C6361"/>
                <w:sz w:val="24"/>
                <w:szCs w:val="24"/>
              </w:rPr>
            </w:pPr>
            <w:r w:rsidRPr="009D67FA">
              <w:rPr>
                <w:rFonts w:ascii="Arial" w:hAnsi="Arial" w:cs="Arial"/>
                <w:i/>
                <w:color w:val="6C6361"/>
                <w:sz w:val="24"/>
                <w:szCs w:val="24"/>
              </w:rPr>
              <w:t>by</w:t>
            </w:r>
          </w:p>
          <w:p w:rsidR="002F4919" w:rsidRDefault="002F4919" w:rsidP="00CA76AD">
            <w:pPr>
              <w:spacing w:line="276" w:lineRule="auto"/>
              <w:jc w:val="center"/>
              <w:rPr>
                <w:rFonts w:ascii="Arial" w:hAnsi="Arial" w:cs="Arial"/>
                <w:color w:val="6C6361"/>
                <w:sz w:val="24"/>
                <w:szCs w:val="24"/>
              </w:rPr>
            </w:pPr>
            <w:hyperlink r:id="rId8" w:history="1">
              <w:r w:rsidRPr="00032DE4">
                <w:rPr>
                  <w:rStyle w:val="Hyperlink"/>
                  <w:rFonts w:ascii="Arial" w:hAnsi="Arial" w:cs="Arial"/>
                  <w:color w:val="6C6361"/>
                  <w:sz w:val="24"/>
                  <w:szCs w:val="24"/>
                  <w:u w:val="none"/>
                </w:rPr>
                <w:t xml:space="preserve">Dr. </w:t>
              </w:r>
              <w:r>
                <w:rPr>
                  <w:rStyle w:val="Hyperlink"/>
                  <w:rFonts w:ascii="Arial" w:hAnsi="Arial" w:cs="Arial"/>
                  <w:color w:val="6C6361"/>
                  <w:sz w:val="24"/>
                  <w:szCs w:val="24"/>
                  <w:u w:val="none"/>
                </w:rPr>
                <w:t>Stephen Thomson</w:t>
              </w:r>
            </w:hyperlink>
            <w:r>
              <w:rPr>
                <w:rFonts w:ascii="Arial" w:hAnsi="Arial" w:cs="Arial"/>
                <w:color w:val="6C6361"/>
                <w:sz w:val="24"/>
                <w:szCs w:val="24"/>
              </w:rPr>
              <w:t>,</w:t>
            </w:r>
          </w:p>
          <w:p w:rsidR="002F4919" w:rsidRDefault="002F4919" w:rsidP="00CA76AD">
            <w:pPr>
              <w:spacing w:line="276" w:lineRule="auto"/>
              <w:jc w:val="center"/>
              <w:rPr>
                <w:rFonts w:ascii="Arial" w:hAnsi="Arial" w:cs="Arial"/>
                <w:color w:val="6C6361"/>
                <w:sz w:val="24"/>
                <w:szCs w:val="24"/>
              </w:rPr>
            </w:pPr>
            <w:r>
              <w:rPr>
                <w:rFonts w:ascii="Arial" w:hAnsi="Arial" w:cs="Arial"/>
                <w:color w:val="6C6361"/>
                <w:sz w:val="24"/>
                <w:szCs w:val="24"/>
              </w:rPr>
              <w:t>Assistant Professor,</w:t>
            </w:r>
          </w:p>
          <w:p w:rsidR="002F4919" w:rsidRDefault="002F4919" w:rsidP="00CA76AD">
            <w:pPr>
              <w:spacing w:line="276" w:lineRule="auto"/>
              <w:jc w:val="center"/>
              <w:rPr>
                <w:rFonts w:ascii="Arial" w:hAnsi="Arial" w:cs="Arial"/>
                <w:color w:val="6C6361"/>
                <w:sz w:val="24"/>
                <w:szCs w:val="24"/>
              </w:rPr>
            </w:pPr>
            <w:r>
              <w:rPr>
                <w:rFonts w:ascii="Arial" w:hAnsi="Arial" w:cs="Arial"/>
                <w:color w:val="6C6361"/>
                <w:sz w:val="24"/>
                <w:szCs w:val="24"/>
              </w:rPr>
              <w:t>The Chinese University of Hong Kong</w:t>
            </w:r>
          </w:p>
          <w:p w:rsidR="002F4919" w:rsidRPr="008259A9" w:rsidRDefault="002F4919" w:rsidP="00CA76AD">
            <w:pPr>
              <w:jc w:val="center"/>
              <w:rPr>
                <w:rFonts w:ascii="Arial" w:hAnsi="Arial" w:cs="Arial"/>
                <w:color w:val="6C6361"/>
                <w:sz w:val="4"/>
                <w:szCs w:val="4"/>
              </w:rPr>
            </w:pPr>
          </w:p>
        </w:tc>
        <w:tc>
          <w:tcPr>
            <w:tcW w:w="5954" w:type="dxa"/>
            <w:shd w:val="clear" w:color="auto" w:fill="FFFFFF"/>
            <w:vAlign w:val="center"/>
          </w:tcPr>
          <w:p w:rsidR="002F4919" w:rsidRPr="00D50772" w:rsidRDefault="002F4919" w:rsidP="00CA76AD">
            <w:pPr>
              <w:spacing w:line="276" w:lineRule="auto"/>
              <w:jc w:val="center"/>
              <w:rPr>
                <w:rFonts w:ascii="Arial" w:eastAsia="Times New Roman" w:hAnsi="Arial" w:cs="Arial"/>
                <w:noProof/>
                <w:sz w:val="20"/>
                <w:szCs w:val="20"/>
              </w:rPr>
            </w:pPr>
            <w:r w:rsidRPr="00D237B1">
              <w:rPr>
                <w:rStyle w:val="Hyperlink"/>
                <w:rFonts w:ascii="Arial" w:hAnsi="Arial" w:cs="Arial"/>
                <w:b/>
                <w:bCs/>
                <w:noProof/>
                <w:color w:val="524B48"/>
                <w:sz w:val="32"/>
                <w:szCs w:val="32"/>
                <w:u w:val="none"/>
              </w:rPr>
              <w:drawing>
                <wp:anchor distT="0" distB="0" distL="114300" distR="114300" simplePos="0" relativeHeight="251659264" behindDoc="0" locked="0" layoutInCell="1" allowOverlap="1" wp14:anchorId="05DB8340" wp14:editId="5146D13E">
                  <wp:simplePos x="0" y="0"/>
                  <wp:positionH relativeFrom="column">
                    <wp:posOffset>3176270</wp:posOffset>
                  </wp:positionH>
                  <wp:positionV relativeFrom="paragraph">
                    <wp:posOffset>-57785</wp:posOffset>
                  </wp:positionV>
                  <wp:extent cx="539750" cy="546735"/>
                  <wp:effectExtent l="0" t="0" r="0" b="5715"/>
                  <wp:wrapNone/>
                  <wp:docPr id="4" name="Picture 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24D60AB2" wp14:editId="426519F8">
                  <wp:extent cx="3657600" cy="1828800"/>
                  <wp:effectExtent l="0" t="0" r="0" b="0"/>
                  <wp:docPr id="10"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2F4919" w:rsidRPr="00F26BAF" w:rsidRDefault="002F4919" w:rsidP="002F4919">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2F4919" w:rsidRPr="00F26BAF" w:rsidTr="00CA76AD">
        <w:trPr>
          <w:trHeight w:val="3832"/>
          <w:jc w:val="center"/>
        </w:trPr>
        <w:tc>
          <w:tcPr>
            <w:tcW w:w="1985" w:type="dxa"/>
            <w:shd w:val="clear" w:color="auto" w:fill="FFFFFF"/>
            <w:vAlign w:val="center"/>
          </w:tcPr>
          <w:p w:rsidR="002F4919" w:rsidRPr="00F26BAF" w:rsidRDefault="002F4919" w:rsidP="00CA76AD">
            <w:pPr>
              <w:spacing w:line="276" w:lineRule="auto"/>
              <w:jc w:val="center"/>
              <w:rPr>
                <w:rFonts w:ascii="Arial" w:hAnsi="Arial" w:cs="Arial"/>
                <w:sz w:val="24"/>
                <w:szCs w:val="24"/>
              </w:rPr>
            </w:pPr>
            <w:r w:rsidRPr="00F26BAF">
              <w:rPr>
                <w:rFonts w:ascii="Arial" w:hAnsi="Arial" w:cs="Arial"/>
                <w:noProof/>
                <w:sz w:val="24"/>
                <w:szCs w:val="24"/>
              </w:rPr>
              <w:drawing>
                <wp:inline distT="0" distB="0" distL="0" distR="0" wp14:anchorId="3BA207A0" wp14:editId="520B585F">
                  <wp:extent cx="1078705" cy="1438273"/>
                  <wp:effectExtent l="0" t="0" r="7620" b="0"/>
                  <wp:docPr id="3"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78705" cy="1438273"/>
                          </a:xfrm>
                          <a:prstGeom prst="rect">
                            <a:avLst/>
                          </a:prstGeom>
                          <a:noFill/>
                          <a:ln w="9525">
                            <a:noFill/>
                            <a:miter lim="800000"/>
                            <a:headEnd/>
                            <a:tailEnd/>
                          </a:ln>
                        </pic:spPr>
                      </pic:pic>
                    </a:graphicData>
                  </a:graphic>
                </wp:inline>
              </w:drawing>
            </w:r>
          </w:p>
        </w:tc>
        <w:tc>
          <w:tcPr>
            <w:tcW w:w="8788" w:type="dxa"/>
            <w:shd w:val="clear" w:color="auto" w:fill="FFFFFF"/>
            <w:vAlign w:val="center"/>
          </w:tcPr>
          <w:p w:rsidR="002F4919" w:rsidRPr="00F26BAF" w:rsidRDefault="002F4919" w:rsidP="00CA76AD">
            <w:pPr>
              <w:spacing w:line="276" w:lineRule="auto"/>
              <w:rPr>
                <w:rFonts w:ascii="Arial" w:hAnsi="Arial" w:cs="Arial"/>
                <w:sz w:val="24"/>
                <w:szCs w:val="24"/>
              </w:rPr>
            </w:pPr>
            <w:r w:rsidRPr="00BD7501">
              <w:rPr>
                <w:rFonts w:ascii="Arial" w:hAnsi="Arial" w:cs="Arial"/>
                <w:color w:val="6C6361"/>
                <w:sz w:val="24"/>
                <w:szCs w:val="24"/>
              </w:rPr>
              <w:t>Stephen Thomson is an Assistant Professor at the Chinese University of Hong Kong (CUHK), where he leads teaching in administrative law.  Dr. Thomson holds a Ph.D. in judicial review from the University of Edinburgh (UK), where he previously taught constitutional and administrative law on a part-time basis.  In addition to his experience in the field of administrative law, Dr. Thomson is the leading authority on equitable jurisdiction in Scotland where he has written the only book on that subject.  Dr. Thomson has practical legal and commercial experience, having worked at law firms and barristers' chambers in the UK and Channel Islands.  He has acted on a consultancy basis to law firms, private clients and public bodies in Hong Kong and the UK.  Dr. Thomson is also a Legal Adviser to the Ombudsman of Hong Kong.</w:t>
            </w:r>
          </w:p>
        </w:tc>
      </w:tr>
    </w:tbl>
    <w:p w:rsidR="002F4919" w:rsidRPr="00F26BAF" w:rsidRDefault="002F4919" w:rsidP="002F4919">
      <w:pPr>
        <w:spacing w:line="276" w:lineRule="auto"/>
        <w:jc w:val="left"/>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10773"/>
      </w:tblGrid>
      <w:tr w:rsidR="002F4919" w:rsidRPr="00BD7501" w:rsidTr="00CA76AD">
        <w:trPr>
          <w:trHeight w:val="5412"/>
          <w:jc w:val="center"/>
        </w:trPr>
        <w:tc>
          <w:tcPr>
            <w:tcW w:w="10773" w:type="dxa"/>
            <w:shd w:val="clear" w:color="auto" w:fill="FFFFFF"/>
            <w:vAlign w:val="center"/>
          </w:tcPr>
          <w:p w:rsidR="002F4919" w:rsidRPr="00BD7501" w:rsidRDefault="002F4919" w:rsidP="00CA76AD">
            <w:pPr>
              <w:spacing w:line="276" w:lineRule="auto"/>
              <w:rPr>
                <w:rFonts w:ascii="Arial" w:hAnsi="Arial" w:cs="Arial"/>
                <w:color w:val="6C6361"/>
                <w:sz w:val="24"/>
                <w:szCs w:val="24"/>
              </w:rPr>
            </w:pPr>
            <w:r w:rsidRPr="00BD7501">
              <w:rPr>
                <w:rFonts w:ascii="Arial" w:hAnsi="Arial" w:cs="Arial"/>
                <w:color w:val="6C6361"/>
                <w:sz w:val="24"/>
                <w:szCs w:val="24"/>
              </w:rPr>
              <w:t>The leave stage is an important preliminary aspect of judicial review procedure.  If an application fails at this stage, it will not be considered at a substantive hearing.  This intermediate level course will give an overview of the leave stage, beginning with the relevant statutory and court rules.</w:t>
            </w:r>
          </w:p>
          <w:p w:rsidR="002F4919" w:rsidRPr="00BD7501" w:rsidRDefault="002F4919" w:rsidP="00CA76AD">
            <w:pPr>
              <w:spacing w:line="276" w:lineRule="auto"/>
              <w:rPr>
                <w:rFonts w:ascii="Arial" w:hAnsi="Arial" w:cs="Arial"/>
                <w:color w:val="6C6361"/>
                <w:sz w:val="24"/>
                <w:szCs w:val="24"/>
              </w:rPr>
            </w:pPr>
          </w:p>
          <w:p w:rsidR="002F4919" w:rsidRPr="00BD7501" w:rsidRDefault="002F4919" w:rsidP="00CA76AD">
            <w:pPr>
              <w:spacing w:line="276" w:lineRule="auto"/>
              <w:rPr>
                <w:rFonts w:ascii="Arial" w:hAnsi="Arial" w:cs="Arial"/>
                <w:color w:val="6C6361"/>
                <w:sz w:val="24"/>
                <w:szCs w:val="24"/>
              </w:rPr>
            </w:pPr>
            <w:r w:rsidRPr="00BD7501">
              <w:rPr>
                <w:rFonts w:ascii="Arial" w:hAnsi="Arial" w:cs="Arial"/>
                <w:color w:val="6C6361"/>
                <w:sz w:val="24"/>
                <w:szCs w:val="24"/>
              </w:rPr>
              <w:t>We will examine five main areas which can prove decisive at the leave stage: (</w:t>
            </w:r>
            <w:proofErr w:type="spellStart"/>
            <w:r w:rsidRPr="00BD7501">
              <w:rPr>
                <w:rFonts w:ascii="Arial" w:hAnsi="Arial" w:cs="Arial"/>
                <w:color w:val="6C6361"/>
                <w:sz w:val="24"/>
                <w:szCs w:val="24"/>
              </w:rPr>
              <w:t>i</w:t>
            </w:r>
            <w:proofErr w:type="spellEnd"/>
            <w:r w:rsidRPr="00BD7501">
              <w:rPr>
                <w:rFonts w:ascii="Arial" w:hAnsi="Arial" w:cs="Arial"/>
                <w:color w:val="6C6361"/>
                <w:sz w:val="24"/>
                <w:szCs w:val="24"/>
              </w:rPr>
              <w:t>) delay, (ii) failure to demonstrate standing, (iii) non-</w:t>
            </w:r>
            <w:proofErr w:type="spellStart"/>
            <w:r w:rsidRPr="00BD7501">
              <w:rPr>
                <w:rFonts w:ascii="Arial" w:hAnsi="Arial" w:cs="Arial"/>
                <w:color w:val="6C6361"/>
                <w:sz w:val="24"/>
                <w:szCs w:val="24"/>
              </w:rPr>
              <w:t>justiciability</w:t>
            </w:r>
            <w:proofErr w:type="spellEnd"/>
            <w:r w:rsidRPr="00BD7501">
              <w:rPr>
                <w:rFonts w:ascii="Arial" w:hAnsi="Arial" w:cs="Arial"/>
                <w:color w:val="6C6361"/>
                <w:sz w:val="24"/>
                <w:szCs w:val="24"/>
              </w:rPr>
              <w:t xml:space="preserve"> of subject matter, </w:t>
            </w:r>
            <w:proofErr w:type="gramStart"/>
            <w:r w:rsidRPr="00BD7501">
              <w:rPr>
                <w:rFonts w:ascii="Arial" w:hAnsi="Arial" w:cs="Arial"/>
                <w:color w:val="6C6361"/>
                <w:sz w:val="24"/>
                <w:szCs w:val="24"/>
              </w:rPr>
              <w:t>(iv) the application</w:t>
            </w:r>
            <w:proofErr w:type="gramEnd"/>
            <w:r w:rsidRPr="00BD7501">
              <w:rPr>
                <w:rFonts w:ascii="Arial" w:hAnsi="Arial" w:cs="Arial"/>
                <w:color w:val="6C6361"/>
                <w:sz w:val="24"/>
                <w:szCs w:val="24"/>
              </w:rPr>
              <w:t xml:space="preserve"> is insufficiently connected with a public law matter, and (v) non-</w:t>
            </w:r>
            <w:proofErr w:type="spellStart"/>
            <w:r w:rsidRPr="00BD7501">
              <w:rPr>
                <w:rFonts w:ascii="Arial" w:hAnsi="Arial" w:cs="Arial"/>
                <w:color w:val="6C6361"/>
                <w:sz w:val="24"/>
                <w:szCs w:val="24"/>
              </w:rPr>
              <w:t>arguability</w:t>
            </w:r>
            <w:proofErr w:type="spellEnd"/>
            <w:r w:rsidRPr="00BD7501">
              <w:rPr>
                <w:rFonts w:ascii="Arial" w:hAnsi="Arial" w:cs="Arial"/>
                <w:color w:val="6C6361"/>
                <w:sz w:val="24"/>
                <w:szCs w:val="24"/>
              </w:rPr>
              <w:t>.  Each of these areas will be considered at the level of principle, case law and practice.</w:t>
            </w:r>
          </w:p>
          <w:p w:rsidR="002F4919" w:rsidRPr="00BD7501" w:rsidRDefault="002F4919" w:rsidP="00CA76AD">
            <w:pPr>
              <w:spacing w:line="276" w:lineRule="auto"/>
              <w:rPr>
                <w:rFonts w:ascii="Arial" w:hAnsi="Arial" w:cs="Arial"/>
                <w:color w:val="6C6361"/>
                <w:sz w:val="24"/>
                <w:szCs w:val="24"/>
              </w:rPr>
            </w:pPr>
          </w:p>
          <w:p w:rsidR="002F4919" w:rsidRPr="00BD7501" w:rsidRDefault="002F4919" w:rsidP="00CA76AD">
            <w:pPr>
              <w:spacing w:line="276" w:lineRule="auto"/>
              <w:rPr>
                <w:rFonts w:ascii="Arial" w:hAnsi="Arial" w:cs="Arial"/>
                <w:color w:val="6C6361"/>
                <w:sz w:val="24"/>
                <w:szCs w:val="24"/>
              </w:rPr>
            </w:pPr>
            <w:r w:rsidRPr="00BD7501">
              <w:rPr>
                <w:rFonts w:ascii="Arial" w:hAnsi="Arial" w:cs="Arial"/>
                <w:color w:val="6C6361"/>
                <w:sz w:val="24"/>
                <w:szCs w:val="24"/>
              </w:rPr>
              <w:t xml:space="preserve">Is delay always fatal for an application for leave to apply for judicial review? Who can demonstrate standing in an application, and what are some of the factors that can be used to establish standing? When does the subject matter of an application deem it non-justiciable, and therefore not subject to judicial review? When </w:t>
            </w:r>
            <w:proofErr w:type="gramStart"/>
            <w:r w:rsidRPr="00BD7501">
              <w:rPr>
                <w:rFonts w:ascii="Arial" w:hAnsi="Arial" w:cs="Arial"/>
                <w:color w:val="6C6361"/>
                <w:sz w:val="24"/>
                <w:szCs w:val="24"/>
              </w:rPr>
              <w:t>is an application</w:t>
            </w:r>
            <w:proofErr w:type="gramEnd"/>
            <w:r w:rsidRPr="00BD7501">
              <w:rPr>
                <w:rFonts w:ascii="Arial" w:hAnsi="Arial" w:cs="Arial"/>
                <w:color w:val="6C6361"/>
                <w:sz w:val="24"/>
                <w:szCs w:val="24"/>
              </w:rPr>
              <w:t xml:space="preserve"> insufficiently connected with a public law matter? When is an application likely to be considered non-arguable, and what are some of the issues faced in demonstrating </w:t>
            </w:r>
            <w:proofErr w:type="spellStart"/>
            <w:r w:rsidRPr="00BD7501">
              <w:rPr>
                <w:rFonts w:ascii="Arial" w:hAnsi="Arial" w:cs="Arial"/>
                <w:color w:val="6C6361"/>
                <w:sz w:val="24"/>
                <w:szCs w:val="24"/>
              </w:rPr>
              <w:t>arguability</w:t>
            </w:r>
            <w:proofErr w:type="spellEnd"/>
            <w:r w:rsidRPr="00BD7501">
              <w:rPr>
                <w:rFonts w:ascii="Arial" w:hAnsi="Arial" w:cs="Arial"/>
                <w:color w:val="6C6361"/>
                <w:sz w:val="24"/>
                <w:szCs w:val="24"/>
              </w:rPr>
              <w:t>? These and other questions will be addressed with regard to this important aspect of judicial review procedure.</w:t>
            </w:r>
          </w:p>
        </w:tc>
      </w:tr>
    </w:tbl>
    <w:p w:rsidR="002F4919" w:rsidRDefault="002F4919" w:rsidP="002F4919">
      <w:pPr>
        <w:spacing w:line="276" w:lineRule="auto"/>
        <w:jc w:val="left"/>
        <w:rPr>
          <w:rFonts w:ascii="Arial" w:hAnsi="Arial" w:cs="Arial"/>
          <w:sz w:val="20"/>
        </w:rPr>
      </w:pPr>
    </w:p>
    <w:p w:rsidR="002F4919" w:rsidRDefault="002F4919" w:rsidP="002F4919">
      <w:pPr>
        <w:spacing w:line="276" w:lineRule="auto"/>
        <w:jc w:val="left"/>
        <w:rPr>
          <w:rFonts w:ascii="Arial" w:hAnsi="Arial" w:cs="Arial"/>
          <w:sz w:val="20"/>
        </w:rPr>
      </w:pPr>
    </w:p>
    <w:p w:rsidR="002F4919" w:rsidRDefault="002F4919" w:rsidP="002F4919">
      <w:pPr>
        <w:spacing w:line="276" w:lineRule="auto"/>
        <w:jc w:val="left"/>
        <w:rPr>
          <w:rFonts w:ascii="Arial" w:hAnsi="Arial" w:cs="Arial"/>
          <w:sz w:val="20"/>
        </w:rPr>
      </w:pPr>
    </w:p>
    <w:p w:rsidR="002F4919" w:rsidRDefault="002F4919" w:rsidP="002F4919">
      <w:pPr>
        <w:spacing w:line="276" w:lineRule="auto"/>
        <w:jc w:val="left"/>
        <w:rPr>
          <w:rFonts w:ascii="Arial" w:hAnsi="Arial" w:cs="Arial"/>
          <w:sz w:val="20"/>
        </w:rPr>
      </w:pPr>
    </w:p>
    <w:p w:rsidR="002F4919" w:rsidRPr="002F4919" w:rsidRDefault="002F4919" w:rsidP="002F4919">
      <w:pPr>
        <w:spacing w:line="276" w:lineRule="auto"/>
        <w:jc w:val="left"/>
        <w:rPr>
          <w:rFonts w:ascii="Arial" w:hAnsi="Arial" w:cs="Arial"/>
          <w:sz w:val="2"/>
          <w:szCs w:val="2"/>
        </w:rPr>
      </w:pPr>
    </w:p>
    <w:tbl>
      <w:tblPr>
        <w:tblW w:w="10773" w:type="dxa"/>
        <w:jc w:val="center"/>
        <w:tblBorders>
          <w:bottom w:val="single" w:sz="12" w:space="0" w:color="FFFFFF" w:themeColor="background1"/>
        </w:tblBorders>
        <w:tblLook w:val="04A0" w:firstRow="1" w:lastRow="0" w:firstColumn="1" w:lastColumn="0" w:noHBand="0" w:noVBand="1"/>
      </w:tblPr>
      <w:tblGrid>
        <w:gridCol w:w="8931"/>
        <w:gridCol w:w="1842"/>
      </w:tblGrid>
      <w:tr w:rsidR="002F4919" w:rsidRPr="00BD7501" w:rsidTr="00CA76AD">
        <w:trPr>
          <w:trHeight w:val="397"/>
          <w:jc w:val="center"/>
        </w:trPr>
        <w:tc>
          <w:tcPr>
            <w:tcW w:w="10773" w:type="dxa"/>
            <w:gridSpan w:val="2"/>
            <w:tcBorders>
              <w:top w:val="nil"/>
            </w:tcBorders>
            <w:shd w:val="clear" w:color="auto" w:fill="F0EBE1"/>
            <w:vAlign w:val="center"/>
          </w:tcPr>
          <w:p w:rsidR="002F4919" w:rsidRPr="00BD7501" w:rsidRDefault="002F4919" w:rsidP="00CA76AD">
            <w:pPr>
              <w:spacing w:line="276" w:lineRule="auto"/>
              <w:jc w:val="left"/>
              <w:rPr>
                <w:rFonts w:ascii="Arial" w:hAnsi="Arial" w:cs="Arial"/>
                <w:b/>
                <w:color w:val="524B48"/>
                <w:sz w:val="24"/>
                <w:szCs w:val="24"/>
              </w:rPr>
            </w:pPr>
            <w:r w:rsidRPr="00BD7501">
              <w:rPr>
                <w:rFonts w:ascii="Arial" w:hAnsi="Arial" w:cs="Arial"/>
                <w:b/>
                <w:color w:val="524B48"/>
                <w:sz w:val="24"/>
                <w:szCs w:val="24"/>
              </w:rPr>
              <w:lastRenderedPageBreak/>
              <w:t>Contents</w:t>
            </w:r>
          </w:p>
        </w:tc>
      </w:tr>
      <w:tr w:rsidR="002F4919" w:rsidRPr="00BD7501" w:rsidTr="00CA76AD">
        <w:trPr>
          <w:trHeight w:val="2301"/>
          <w:jc w:val="center"/>
        </w:trPr>
        <w:tc>
          <w:tcPr>
            <w:tcW w:w="8931" w:type="dxa"/>
            <w:tcBorders>
              <w:bottom w:val="nil"/>
              <w:right w:val="nil"/>
            </w:tcBorders>
            <w:shd w:val="clear" w:color="auto" w:fill="FFFFFF"/>
            <w:vAlign w:val="center"/>
          </w:tcPr>
          <w:p w:rsidR="002F4919" w:rsidRPr="00BD7501" w:rsidRDefault="002F4919" w:rsidP="00CA76AD">
            <w:pPr>
              <w:pStyle w:val="ListParagraph"/>
              <w:numPr>
                <w:ilvl w:val="0"/>
                <w:numId w:val="2"/>
              </w:numPr>
              <w:spacing w:line="276" w:lineRule="auto"/>
              <w:rPr>
                <w:rFonts w:ascii="Arial" w:hAnsi="Arial" w:cs="Arial"/>
                <w:color w:val="6C6361"/>
                <w:sz w:val="24"/>
                <w:szCs w:val="24"/>
              </w:rPr>
            </w:pPr>
            <w:r w:rsidRPr="00BD7501">
              <w:rPr>
                <w:rFonts w:ascii="Arial" w:hAnsi="Arial" w:cs="Arial"/>
                <w:color w:val="6C6361"/>
                <w:sz w:val="24"/>
                <w:szCs w:val="24"/>
              </w:rPr>
              <w:t>The leave stage</w:t>
            </w:r>
          </w:p>
          <w:p w:rsidR="002F4919" w:rsidRPr="00BD7501" w:rsidRDefault="002F4919" w:rsidP="00CA76AD">
            <w:pPr>
              <w:pStyle w:val="ListParagraph"/>
              <w:numPr>
                <w:ilvl w:val="0"/>
                <w:numId w:val="2"/>
              </w:numPr>
              <w:spacing w:line="276" w:lineRule="auto"/>
              <w:rPr>
                <w:rFonts w:ascii="Arial" w:hAnsi="Arial" w:cs="Arial"/>
                <w:color w:val="6C6361"/>
                <w:sz w:val="24"/>
                <w:szCs w:val="24"/>
              </w:rPr>
            </w:pPr>
            <w:r w:rsidRPr="00BD7501">
              <w:rPr>
                <w:rFonts w:ascii="Arial" w:hAnsi="Arial" w:cs="Arial"/>
                <w:color w:val="6C6361"/>
                <w:sz w:val="24"/>
                <w:szCs w:val="24"/>
              </w:rPr>
              <w:t>Delay</w:t>
            </w:r>
          </w:p>
          <w:p w:rsidR="002F4919" w:rsidRPr="00BD7501" w:rsidRDefault="002F4919" w:rsidP="00CA76AD">
            <w:pPr>
              <w:pStyle w:val="ListParagraph"/>
              <w:numPr>
                <w:ilvl w:val="0"/>
                <w:numId w:val="2"/>
              </w:numPr>
              <w:spacing w:line="276" w:lineRule="auto"/>
              <w:rPr>
                <w:rFonts w:ascii="Arial" w:hAnsi="Arial" w:cs="Arial"/>
                <w:color w:val="6C6361"/>
                <w:sz w:val="24"/>
                <w:szCs w:val="24"/>
              </w:rPr>
            </w:pPr>
            <w:r w:rsidRPr="00BD7501">
              <w:rPr>
                <w:rFonts w:ascii="Arial" w:hAnsi="Arial" w:cs="Arial"/>
                <w:color w:val="6C6361"/>
                <w:sz w:val="24"/>
                <w:szCs w:val="24"/>
              </w:rPr>
              <w:t>Standing</w:t>
            </w:r>
          </w:p>
          <w:p w:rsidR="002F4919" w:rsidRPr="00BD7501" w:rsidRDefault="002F4919" w:rsidP="00CA76AD">
            <w:pPr>
              <w:pStyle w:val="ListParagraph"/>
              <w:numPr>
                <w:ilvl w:val="0"/>
                <w:numId w:val="2"/>
              </w:numPr>
              <w:spacing w:line="276" w:lineRule="auto"/>
              <w:rPr>
                <w:rFonts w:ascii="Arial" w:hAnsi="Arial" w:cs="Arial"/>
                <w:color w:val="6C6361"/>
                <w:sz w:val="24"/>
                <w:szCs w:val="24"/>
              </w:rPr>
            </w:pPr>
            <w:r w:rsidRPr="00BD7501">
              <w:rPr>
                <w:rFonts w:ascii="Arial" w:hAnsi="Arial" w:cs="Arial"/>
                <w:color w:val="6C6361"/>
                <w:sz w:val="24"/>
                <w:szCs w:val="24"/>
              </w:rPr>
              <w:t>Non-</w:t>
            </w:r>
            <w:proofErr w:type="spellStart"/>
            <w:r w:rsidRPr="00BD7501">
              <w:rPr>
                <w:rFonts w:ascii="Arial" w:hAnsi="Arial" w:cs="Arial"/>
                <w:color w:val="6C6361"/>
                <w:sz w:val="24"/>
                <w:szCs w:val="24"/>
              </w:rPr>
              <w:t>justiciability</w:t>
            </w:r>
            <w:proofErr w:type="spellEnd"/>
          </w:p>
          <w:p w:rsidR="002F4919" w:rsidRPr="00BD7501" w:rsidRDefault="002F4919" w:rsidP="00CA76AD">
            <w:pPr>
              <w:pStyle w:val="ListParagraph"/>
              <w:numPr>
                <w:ilvl w:val="0"/>
                <w:numId w:val="2"/>
              </w:numPr>
              <w:spacing w:line="276" w:lineRule="auto"/>
              <w:rPr>
                <w:rFonts w:ascii="Arial" w:hAnsi="Arial" w:cs="Arial"/>
                <w:color w:val="6C6361"/>
                <w:sz w:val="24"/>
                <w:szCs w:val="24"/>
              </w:rPr>
            </w:pPr>
            <w:r w:rsidRPr="00BD7501">
              <w:rPr>
                <w:rFonts w:ascii="Arial" w:hAnsi="Arial" w:cs="Arial"/>
                <w:color w:val="6C6361"/>
                <w:sz w:val="24"/>
                <w:szCs w:val="24"/>
              </w:rPr>
              <w:t>Insufficient public element</w:t>
            </w:r>
            <w:r>
              <w:rPr>
                <w:rFonts w:ascii="Arial" w:hAnsi="Arial" w:cs="Arial"/>
                <w:color w:val="6C6361"/>
                <w:sz w:val="24"/>
                <w:szCs w:val="24"/>
              </w:rPr>
              <w:t xml:space="preserve"> </w:t>
            </w:r>
          </w:p>
          <w:p w:rsidR="002F4919" w:rsidRPr="00BD7501" w:rsidRDefault="002F4919" w:rsidP="00CA76AD">
            <w:pPr>
              <w:pStyle w:val="ListParagraph"/>
              <w:numPr>
                <w:ilvl w:val="0"/>
                <w:numId w:val="2"/>
              </w:numPr>
              <w:spacing w:line="276" w:lineRule="auto"/>
              <w:rPr>
                <w:rFonts w:ascii="Arial" w:hAnsi="Arial" w:cs="Arial"/>
                <w:color w:val="6C6361"/>
                <w:sz w:val="24"/>
                <w:szCs w:val="24"/>
              </w:rPr>
            </w:pPr>
            <w:r w:rsidRPr="00BD7501">
              <w:rPr>
                <w:rFonts w:ascii="Arial" w:hAnsi="Arial" w:cs="Arial"/>
                <w:color w:val="6C6361"/>
                <w:sz w:val="24"/>
                <w:szCs w:val="24"/>
              </w:rPr>
              <w:t>Non-</w:t>
            </w:r>
            <w:proofErr w:type="spellStart"/>
            <w:r w:rsidRPr="00BD7501">
              <w:rPr>
                <w:rFonts w:ascii="Arial" w:hAnsi="Arial" w:cs="Arial"/>
                <w:color w:val="6C6361"/>
                <w:sz w:val="24"/>
                <w:szCs w:val="24"/>
              </w:rPr>
              <w:t>arguability</w:t>
            </w:r>
            <w:proofErr w:type="spellEnd"/>
          </w:p>
        </w:tc>
        <w:tc>
          <w:tcPr>
            <w:tcW w:w="1842" w:type="dxa"/>
            <w:tcBorders>
              <w:left w:val="nil"/>
              <w:bottom w:val="nil"/>
            </w:tcBorders>
            <w:shd w:val="clear" w:color="auto" w:fill="FFFFFF"/>
            <w:vAlign w:val="center"/>
          </w:tcPr>
          <w:p w:rsidR="002F4919" w:rsidRDefault="002F4919" w:rsidP="00CA76AD">
            <w:pPr>
              <w:spacing w:line="276" w:lineRule="auto"/>
              <w:jc w:val="center"/>
              <w:rPr>
                <w:rFonts w:ascii="Arial" w:hAnsi="Arial" w:cs="Arial"/>
                <w:color w:val="6C6361"/>
                <w:sz w:val="24"/>
                <w:szCs w:val="24"/>
              </w:rPr>
            </w:pPr>
          </w:p>
          <w:p w:rsidR="002F4919" w:rsidRPr="00D237B1" w:rsidRDefault="002F4919" w:rsidP="00CA76AD">
            <w:pPr>
              <w:spacing w:line="276" w:lineRule="auto"/>
              <w:jc w:val="center"/>
              <w:rPr>
                <w:rFonts w:ascii="Arial" w:hAnsi="Arial" w:cs="Arial"/>
                <w:color w:val="6C6361"/>
                <w:sz w:val="24"/>
                <w:szCs w:val="24"/>
              </w:rPr>
            </w:pPr>
            <w:r w:rsidRPr="00D237B1">
              <w:rPr>
                <w:rFonts w:ascii="Arial" w:hAnsi="Arial" w:cs="Arial"/>
                <w:noProof/>
                <w:color w:val="6C6361"/>
                <w:sz w:val="24"/>
                <w:szCs w:val="24"/>
              </w:rPr>
              <w:drawing>
                <wp:inline distT="0" distB="0" distL="0" distR="0" wp14:anchorId="184A06C9" wp14:editId="6AF3116D">
                  <wp:extent cx="892800" cy="10188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800" cy="1018800"/>
                          </a:xfrm>
                          <a:prstGeom prst="rect">
                            <a:avLst/>
                          </a:prstGeom>
                          <a:noFill/>
                          <a:ln>
                            <a:noFill/>
                          </a:ln>
                        </pic:spPr>
                      </pic:pic>
                    </a:graphicData>
                  </a:graphic>
                </wp:inline>
              </w:drawing>
            </w:r>
          </w:p>
        </w:tc>
      </w:tr>
    </w:tbl>
    <w:p w:rsidR="003E3BAF" w:rsidRPr="00896C14" w:rsidRDefault="003E3BAF" w:rsidP="005C693B">
      <w:pPr>
        <w:spacing w:line="276" w:lineRule="auto"/>
        <w:rPr>
          <w:rFonts w:ascii="Arial" w:hAnsi="Arial" w:cs="Arial"/>
          <w:sz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695"/>
        <w:gridCol w:w="2880"/>
        <w:gridCol w:w="794"/>
        <w:gridCol w:w="1700"/>
        <w:gridCol w:w="2464"/>
        <w:gridCol w:w="1239"/>
      </w:tblGrid>
      <w:tr w:rsidR="002F4919" w:rsidRPr="005A2F25" w:rsidTr="00601EFD">
        <w:trPr>
          <w:trHeight w:val="397"/>
          <w:jc w:val="center"/>
        </w:trPr>
        <w:tc>
          <w:tcPr>
            <w:tcW w:w="1695" w:type="dxa"/>
            <w:tcBorders>
              <w:top w:val="nil"/>
              <w:left w:val="nil"/>
              <w:bottom w:val="single" w:sz="12" w:space="0" w:color="FFFFFF"/>
            </w:tcBorders>
            <w:shd w:val="clear" w:color="auto" w:fill="F0EBE1"/>
            <w:vAlign w:val="center"/>
          </w:tcPr>
          <w:p w:rsidR="002F4919" w:rsidRPr="002343EF"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Code:</w:t>
            </w:r>
          </w:p>
        </w:tc>
        <w:tc>
          <w:tcPr>
            <w:tcW w:w="3674" w:type="dxa"/>
            <w:gridSpan w:val="2"/>
            <w:tcBorders>
              <w:top w:val="nil"/>
              <w:bottom w:val="single" w:sz="12" w:space="0" w:color="F0EBE1"/>
            </w:tcBorders>
            <w:shd w:val="clear" w:color="auto" w:fill="FFFFFF"/>
            <w:vAlign w:val="center"/>
          </w:tcPr>
          <w:p w:rsidR="002F4919" w:rsidRPr="002343EF"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EVT000000147</w:t>
            </w:r>
          </w:p>
        </w:tc>
        <w:tc>
          <w:tcPr>
            <w:tcW w:w="1700" w:type="dxa"/>
            <w:tcBorders>
              <w:top w:val="nil"/>
              <w:bottom w:val="single" w:sz="12" w:space="0" w:color="FFFFFF"/>
            </w:tcBorders>
            <w:shd w:val="clear" w:color="auto" w:fill="F0EBE1"/>
            <w:vAlign w:val="center"/>
          </w:tcPr>
          <w:p w:rsidR="002F4919" w:rsidRPr="002343EF"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Level:</w:t>
            </w:r>
          </w:p>
        </w:tc>
        <w:tc>
          <w:tcPr>
            <w:tcW w:w="3703" w:type="dxa"/>
            <w:gridSpan w:val="2"/>
            <w:tcBorders>
              <w:top w:val="nil"/>
              <w:bottom w:val="single" w:sz="12" w:space="0" w:color="F0EBE1"/>
              <w:right w:val="nil"/>
            </w:tcBorders>
            <w:shd w:val="clear" w:color="auto" w:fill="FFFFFF"/>
            <w:vAlign w:val="center"/>
          </w:tcPr>
          <w:p w:rsidR="002F4919" w:rsidRPr="002343EF"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2343EF">
              <w:rPr>
                <w:rFonts w:ascii="Arial" w:eastAsia="Times New Roman" w:hAnsi="Arial" w:cs="Arial"/>
                <w:b/>
                <w:noProof/>
                <w:color w:val="6C6361"/>
                <w:sz w:val="20"/>
                <w:szCs w:val="20"/>
              </w:rPr>
              <w:t>Intermediate</w:t>
            </w:r>
          </w:p>
        </w:tc>
      </w:tr>
      <w:tr w:rsidR="002F4919" w:rsidRPr="005A2F25" w:rsidTr="00601EFD">
        <w:trPr>
          <w:trHeight w:val="397"/>
          <w:jc w:val="center"/>
        </w:trPr>
        <w:tc>
          <w:tcPr>
            <w:tcW w:w="1695" w:type="dxa"/>
            <w:tcBorders>
              <w:top w:val="single" w:sz="12" w:space="0" w:color="FFFFFF"/>
              <w:left w:val="nil"/>
              <w:bottom w:val="single" w:sz="12" w:space="0" w:color="FFFFFF"/>
            </w:tcBorders>
            <w:shd w:val="clear" w:color="auto" w:fill="F0EBE1"/>
            <w:vAlign w:val="center"/>
          </w:tcPr>
          <w:p w:rsidR="002F4919" w:rsidRPr="002343EF"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Date:</w:t>
            </w:r>
          </w:p>
        </w:tc>
        <w:tc>
          <w:tcPr>
            <w:tcW w:w="3674" w:type="dxa"/>
            <w:gridSpan w:val="2"/>
            <w:tcBorders>
              <w:top w:val="single" w:sz="12" w:space="0" w:color="F0EBE1"/>
              <w:bottom w:val="single" w:sz="12" w:space="0" w:color="F0EBE1"/>
            </w:tcBorders>
            <w:shd w:val="clear" w:color="auto" w:fill="FFFFFF"/>
            <w:vAlign w:val="center"/>
          </w:tcPr>
          <w:p w:rsidR="002F4919" w:rsidRPr="006B70C1"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9 September 2016</w:t>
            </w:r>
            <w:r w:rsidRPr="00482956">
              <w:rPr>
                <w:rFonts w:ascii="Arial" w:hAnsi="Arial" w:cs="Arial"/>
                <w:b/>
                <w:color w:val="6C6361"/>
                <w:sz w:val="20"/>
                <w:szCs w:val="20"/>
              </w:rPr>
              <w:t xml:space="preserve"> (</w:t>
            </w:r>
            <w:r>
              <w:rPr>
                <w:rFonts w:ascii="Arial" w:hAnsi="Arial" w:cs="Arial"/>
                <w:b/>
                <w:color w:val="6C6361"/>
                <w:sz w:val="20"/>
                <w:szCs w:val="20"/>
              </w:rPr>
              <w:t>Friday</w:t>
            </w:r>
            <w:r w:rsidRPr="00482956">
              <w:rPr>
                <w:rFonts w:ascii="Arial" w:hAnsi="Arial" w:cs="Arial"/>
                <w:b/>
                <w:color w:val="6C6361"/>
                <w:sz w:val="20"/>
                <w:szCs w:val="20"/>
              </w:rPr>
              <w:t>)</w:t>
            </w:r>
          </w:p>
        </w:tc>
        <w:tc>
          <w:tcPr>
            <w:tcW w:w="1700" w:type="dxa"/>
            <w:tcBorders>
              <w:top w:val="single" w:sz="12" w:space="0" w:color="FFFFFF"/>
              <w:bottom w:val="single" w:sz="12" w:space="0" w:color="FFFFFF"/>
            </w:tcBorders>
            <w:shd w:val="clear" w:color="auto" w:fill="F0EBE1"/>
            <w:vAlign w:val="center"/>
          </w:tcPr>
          <w:p w:rsidR="002F4919" w:rsidRPr="002343EF"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Language:</w:t>
            </w:r>
          </w:p>
        </w:tc>
        <w:tc>
          <w:tcPr>
            <w:tcW w:w="3703" w:type="dxa"/>
            <w:gridSpan w:val="2"/>
            <w:tcBorders>
              <w:top w:val="single" w:sz="12" w:space="0" w:color="F0EBE1"/>
              <w:bottom w:val="single" w:sz="12" w:space="0" w:color="F0EBE1"/>
              <w:right w:val="nil"/>
            </w:tcBorders>
            <w:shd w:val="clear" w:color="auto" w:fill="FFFFFF"/>
            <w:vAlign w:val="center"/>
          </w:tcPr>
          <w:p w:rsidR="002F4919" w:rsidRPr="002343EF"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2F4919" w:rsidRPr="005A2F25" w:rsidTr="00601EFD">
        <w:trPr>
          <w:trHeight w:val="397"/>
          <w:jc w:val="center"/>
        </w:trPr>
        <w:tc>
          <w:tcPr>
            <w:tcW w:w="1695" w:type="dxa"/>
            <w:tcBorders>
              <w:top w:val="single" w:sz="12" w:space="0" w:color="FFFFFF"/>
              <w:left w:val="nil"/>
              <w:bottom w:val="single" w:sz="12" w:space="0" w:color="FFFFFF"/>
            </w:tcBorders>
            <w:shd w:val="clear" w:color="auto" w:fill="F0EBE1"/>
            <w:vAlign w:val="center"/>
          </w:tcPr>
          <w:p w:rsidR="002F4919" w:rsidRPr="002343EF"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Time:</w:t>
            </w:r>
          </w:p>
        </w:tc>
        <w:tc>
          <w:tcPr>
            <w:tcW w:w="3674" w:type="dxa"/>
            <w:gridSpan w:val="2"/>
            <w:tcBorders>
              <w:top w:val="single" w:sz="12" w:space="0" w:color="F0EBE1"/>
              <w:bottom w:val="single" w:sz="12" w:space="0" w:color="F0EBE1"/>
            </w:tcBorders>
            <w:shd w:val="clear" w:color="auto" w:fill="FFFFFF"/>
            <w:vAlign w:val="center"/>
          </w:tcPr>
          <w:p w:rsidR="002F4919"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14:30 - 17:45</w:t>
            </w:r>
          </w:p>
          <w:p w:rsidR="002F4919" w:rsidRPr="00EC7ADB"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EC7ADB">
              <w:rPr>
                <w:rFonts w:ascii="Arial" w:hAnsi="Arial" w:cs="Arial"/>
                <w:color w:val="6C6361"/>
                <w:sz w:val="20"/>
                <w:szCs w:val="20"/>
              </w:rPr>
              <w:t>(</w:t>
            </w:r>
            <w:r>
              <w:rPr>
                <w:rFonts w:ascii="Arial" w:hAnsi="Arial" w:cs="Arial"/>
                <w:color w:val="6C6361"/>
                <w:sz w:val="20"/>
                <w:szCs w:val="20"/>
              </w:rPr>
              <w:t>Reception starts at 14</w:t>
            </w:r>
            <w:r w:rsidRPr="00EC7ADB">
              <w:rPr>
                <w:rFonts w:ascii="Arial" w:hAnsi="Arial" w:cs="Arial"/>
                <w:color w:val="6C6361"/>
                <w:sz w:val="20"/>
                <w:szCs w:val="20"/>
              </w:rPr>
              <w:t>:00)</w:t>
            </w:r>
          </w:p>
        </w:tc>
        <w:tc>
          <w:tcPr>
            <w:tcW w:w="1700" w:type="dxa"/>
            <w:tcBorders>
              <w:top w:val="single" w:sz="12" w:space="0" w:color="FFFFFF"/>
              <w:bottom w:val="single" w:sz="12" w:space="0" w:color="FFFFFF"/>
            </w:tcBorders>
            <w:shd w:val="clear" w:color="auto" w:fill="F0EBE1"/>
            <w:vAlign w:val="center"/>
          </w:tcPr>
          <w:p w:rsidR="002F4919" w:rsidRPr="002343EF"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Accreditation(s):</w:t>
            </w:r>
          </w:p>
        </w:tc>
        <w:tc>
          <w:tcPr>
            <w:tcW w:w="3703" w:type="dxa"/>
            <w:gridSpan w:val="2"/>
            <w:tcBorders>
              <w:top w:val="single" w:sz="12" w:space="0" w:color="F0EBE1"/>
              <w:bottom w:val="single" w:sz="12" w:space="0" w:color="F0EBE1"/>
              <w:right w:val="nil"/>
            </w:tcBorders>
            <w:shd w:val="clear" w:color="auto" w:fill="FFFFFF"/>
            <w:vAlign w:val="center"/>
          </w:tcPr>
          <w:p w:rsidR="002F4919"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LSHK 3.0 CPD Points</w:t>
            </w:r>
          </w:p>
          <w:p w:rsidR="002F4919" w:rsidRPr="006B70C1"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color w:val="6C6361"/>
                <w:sz w:val="20"/>
                <w:szCs w:val="20"/>
              </w:rPr>
              <w:t>(LSHK Allocated Number: 20162582)</w:t>
            </w:r>
          </w:p>
        </w:tc>
      </w:tr>
      <w:tr w:rsidR="002F4919" w:rsidRPr="005A2F25" w:rsidTr="00601EFD">
        <w:trPr>
          <w:trHeight w:val="1247"/>
          <w:jc w:val="center"/>
        </w:trPr>
        <w:tc>
          <w:tcPr>
            <w:tcW w:w="1695" w:type="dxa"/>
            <w:tcBorders>
              <w:top w:val="single" w:sz="12" w:space="0" w:color="FFFFFF"/>
              <w:left w:val="nil"/>
              <w:bottom w:val="nil"/>
            </w:tcBorders>
            <w:shd w:val="clear" w:color="auto" w:fill="F0EBE1"/>
            <w:vAlign w:val="center"/>
          </w:tcPr>
          <w:p w:rsidR="002F4919" w:rsidRPr="002343EF"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Venue:</w:t>
            </w:r>
          </w:p>
        </w:tc>
        <w:tc>
          <w:tcPr>
            <w:tcW w:w="2880" w:type="dxa"/>
            <w:tcBorders>
              <w:top w:val="single" w:sz="12" w:space="0" w:color="F0EBE1"/>
              <w:bottom w:val="nil"/>
              <w:right w:val="nil"/>
            </w:tcBorders>
            <w:shd w:val="clear" w:color="auto" w:fill="FFFFFF"/>
            <w:vAlign w:val="center"/>
          </w:tcPr>
          <w:p w:rsidR="002F4919" w:rsidRPr="00482956" w:rsidRDefault="002F4919" w:rsidP="002F4919">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482956">
              <w:rPr>
                <w:rFonts w:ascii="Arial" w:hAnsi="Arial" w:cs="Arial"/>
                <w:b/>
                <w:color w:val="6C6361"/>
                <w:sz w:val="20"/>
                <w:szCs w:val="20"/>
              </w:rPr>
              <w:fldChar w:fldCharType="begin"/>
            </w:r>
            <w:r w:rsidRPr="00482956">
              <w:rPr>
                <w:rFonts w:ascii="Arial" w:hAnsi="Arial" w:cs="Arial"/>
                <w:b/>
                <w:color w:val="6C6361"/>
                <w:sz w:val="20"/>
                <w:szCs w:val="20"/>
              </w:rPr>
              <w:instrText xml:space="preserve"> HYPERLINK "http://goo.gl/maps/DKYQ1" </w:instrText>
            </w:r>
            <w:r w:rsidRPr="00482956">
              <w:rPr>
                <w:rFonts w:ascii="Arial" w:hAnsi="Arial" w:cs="Arial"/>
                <w:b/>
                <w:color w:val="6C6361"/>
                <w:sz w:val="20"/>
                <w:szCs w:val="20"/>
              </w:rPr>
              <w:fldChar w:fldCharType="separate"/>
            </w:r>
            <w:r w:rsidRPr="00482956">
              <w:rPr>
                <w:rStyle w:val="Hyperlink"/>
                <w:rFonts w:ascii="Arial" w:hAnsi="Arial" w:cs="Arial"/>
                <w:b/>
                <w:color w:val="6C6361"/>
                <w:sz w:val="20"/>
                <w:szCs w:val="20"/>
                <w:u w:val="none"/>
              </w:rPr>
              <w:t>Kornerstone Institute</w:t>
            </w:r>
          </w:p>
          <w:p w:rsidR="002F4919" w:rsidRPr="00F36D9A"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F36D9A">
              <w:rPr>
                <w:rStyle w:val="Hyperlink"/>
                <w:rFonts w:ascii="Arial" w:hAnsi="Arial" w:cs="Arial"/>
                <w:color w:val="6C6361"/>
                <w:sz w:val="20"/>
                <w:szCs w:val="20"/>
                <w:u w:val="none"/>
              </w:rPr>
              <w:t>15/F, Hip Shing Hong Centre</w:t>
            </w:r>
          </w:p>
          <w:p w:rsidR="002F4919" w:rsidRPr="00F36D9A"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F36D9A">
              <w:rPr>
                <w:rStyle w:val="Hyperlink"/>
                <w:rFonts w:ascii="Arial" w:hAnsi="Arial" w:cs="Arial"/>
                <w:color w:val="6C6361"/>
                <w:sz w:val="20"/>
                <w:szCs w:val="20"/>
                <w:u w:val="none"/>
              </w:rPr>
              <w:t>55 Des Voeux Road Central</w:t>
            </w:r>
          </w:p>
          <w:p w:rsidR="002F4919" w:rsidRPr="002343EF"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F36D9A">
              <w:rPr>
                <w:rStyle w:val="Hyperlink"/>
                <w:rFonts w:ascii="Arial" w:hAnsi="Arial" w:cs="Arial"/>
                <w:color w:val="6C6361"/>
                <w:sz w:val="20"/>
                <w:szCs w:val="20"/>
                <w:u w:val="none"/>
              </w:rPr>
              <w:t>Central, Hong Kong</w:t>
            </w:r>
            <w:r w:rsidRPr="00482956">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2F4919" w:rsidRPr="00334CAE" w:rsidRDefault="002F4919" w:rsidP="002F4919">
            <w:pPr>
              <w:jc w:val="right"/>
              <w:rPr>
                <w:rFonts w:ascii="Arial" w:hAnsi="Arial" w:cs="Arial"/>
                <w:b/>
                <w:color w:val="6C6361"/>
                <w:sz w:val="12"/>
                <w:szCs w:val="12"/>
              </w:rPr>
            </w:pPr>
            <w:r w:rsidRPr="00334CAE">
              <w:rPr>
                <w:rFonts w:ascii="Arial" w:hAnsi="Arial" w:cs="Arial"/>
                <w:b/>
                <w:noProof/>
                <w:color w:val="6C6361"/>
                <w:sz w:val="12"/>
                <w:szCs w:val="12"/>
              </w:rPr>
              <w:drawing>
                <wp:inline distT="0" distB="0" distL="0" distR="0" wp14:anchorId="5F251754" wp14:editId="2CFCDCBE">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2F4919" w:rsidRPr="00334CAE" w:rsidRDefault="002F4919" w:rsidP="002F4919">
            <w:pPr>
              <w:jc w:val="right"/>
              <w:rPr>
                <w:rFonts w:ascii="Arial" w:hAnsi="Arial" w:cs="Arial"/>
                <w:b/>
                <w:color w:val="6C6361"/>
                <w:sz w:val="12"/>
                <w:szCs w:val="12"/>
              </w:rPr>
            </w:pPr>
          </w:p>
        </w:tc>
        <w:tc>
          <w:tcPr>
            <w:tcW w:w="1700" w:type="dxa"/>
            <w:tcBorders>
              <w:top w:val="single" w:sz="12" w:space="0" w:color="FFFFFF"/>
              <w:bottom w:val="nil"/>
            </w:tcBorders>
            <w:shd w:val="clear" w:color="auto" w:fill="F0EBE1"/>
            <w:vAlign w:val="center"/>
          </w:tcPr>
          <w:p w:rsidR="002F4919" w:rsidRPr="003A2A41"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2F4919" w:rsidRPr="003A2A41"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64" w:type="dxa"/>
            <w:tcBorders>
              <w:top w:val="single" w:sz="12" w:space="0" w:color="F0EBE1"/>
              <w:bottom w:val="nil"/>
              <w:right w:val="nil"/>
            </w:tcBorders>
            <w:shd w:val="clear" w:color="auto" w:fill="FFFFFF"/>
            <w:vAlign w:val="center"/>
          </w:tcPr>
          <w:p w:rsidR="002F4919" w:rsidRPr="003A2A41"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2F4919" w:rsidRPr="003A2A41"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39" w:type="dxa"/>
            <w:tcBorders>
              <w:top w:val="single" w:sz="12" w:space="0" w:color="F0EBE1"/>
              <w:left w:val="nil"/>
              <w:bottom w:val="nil"/>
              <w:right w:val="nil"/>
            </w:tcBorders>
            <w:shd w:val="clear" w:color="auto" w:fill="FFFFFF"/>
            <w:vAlign w:val="center"/>
          </w:tcPr>
          <w:p w:rsidR="002F4919" w:rsidRPr="00156567"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7BAD2130" wp14:editId="3BDF292C">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5C693B" w:rsidRDefault="00214BC6" w:rsidP="005C693B"/>
    <w:sectPr w:rsidR="00214BC6" w:rsidRPr="005C693B"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2C41" w:rsidRDefault="00492C41" w:rsidP="00546556">
      <w:r>
        <w:separator/>
      </w:r>
    </w:p>
  </w:endnote>
  <w:endnote w:type="continuationSeparator" w:id="0">
    <w:p w:rsidR="00492C41" w:rsidRDefault="00492C41"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2C41" w:rsidRDefault="00492C41" w:rsidP="00546556">
      <w:r>
        <w:separator/>
      </w:r>
    </w:p>
  </w:footnote>
  <w:footnote w:type="continuationSeparator" w:id="0">
    <w:p w:rsidR="00492C41" w:rsidRDefault="00492C41"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324D7613"/>
    <w:multiLevelType w:val="hybridMultilevel"/>
    <w:tmpl w:val="4F6AE4CC"/>
    <w:lvl w:ilvl="0" w:tplc="01A8DEFE">
      <w:numFmt w:val="bullet"/>
      <w:lvlText w:val="-"/>
      <w:lvlJc w:val="left"/>
      <w:pPr>
        <w:ind w:left="720" w:hanging="360"/>
      </w:pPr>
      <w:rPr>
        <w:rFonts w:ascii="Arial" w:eastAsia="新細明體"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3">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5"/>
  </w:num>
  <w:num w:numId="3">
    <w:abstractNumId w:val="14"/>
  </w:num>
  <w:num w:numId="4">
    <w:abstractNumId w:val="2"/>
  </w:num>
  <w:num w:numId="5">
    <w:abstractNumId w:val="4"/>
  </w:num>
  <w:num w:numId="6">
    <w:abstractNumId w:val="15"/>
  </w:num>
  <w:num w:numId="7">
    <w:abstractNumId w:val="3"/>
  </w:num>
  <w:num w:numId="8">
    <w:abstractNumId w:val="16"/>
  </w:num>
  <w:num w:numId="9">
    <w:abstractNumId w:val="17"/>
  </w:num>
  <w:num w:numId="10">
    <w:abstractNumId w:val="11"/>
  </w:num>
  <w:num w:numId="11">
    <w:abstractNumId w:val="0"/>
  </w:num>
  <w:num w:numId="12">
    <w:abstractNumId w:val="8"/>
  </w:num>
  <w:num w:numId="13">
    <w:abstractNumId w:val="13"/>
  </w:num>
  <w:num w:numId="14">
    <w:abstractNumId w:val="7"/>
  </w:num>
  <w:num w:numId="15">
    <w:abstractNumId w:val="10"/>
  </w:num>
  <w:num w:numId="16">
    <w:abstractNumId w:val="1"/>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s2DXzl0hMZdjgz1+X/T0MPKhUcQX1AgGwSc2ih7pHfs6R0aM0nTb9yeJgDSY4Bl13wOIdMaT23OIU3vQs6kHDA==" w:salt="/asIc5+vDbbpg92lPbx0lw=="/>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46D28"/>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2815"/>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1E"/>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37ABF"/>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4919"/>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86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3215"/>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4904"/>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3BAF"/>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2C41"/>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748"/>
    <w:rsid w:val="005B4893"/>
    <w:rsid w:val="005B4DAC"/>
    <w:rsid w:val="005B5413"/>
    <w:rsid w:val="005B57E8"/>
    <w:rsid w:val="005B5F65"/>
    <w:rsid w:val="005B68BA"/>
    <w:rsid w:val="005C0156"/>
    <w:rsid w:val="005C1029"/>
    <w:rsid w:val="005C129B"/>
    <w:rsid w:val="005C2B79"/>
    <w:rsid w:val="005C3D10"/>
    <w:rsid w:val="005C5509"/>
    <w:rsid w:val="005C6688"/>
    <w:rsid w:val="005C693B"/>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6FE5"/>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5277"/>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2D4"/>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50AA"/>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8F6C35"/>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4421"/>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0D7A"/>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5F5"/>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49A"/>
    <w:rsid w:val="00C30F1B"/>
    <w:rsid w:val="00C3178C"/>
    <w:rsid w:val="00C321F7"/>
    <w:rsid w:val="00C32A81"/>
    <w:rsid w:val="00C33237"/>
    <w:rsid w:val="00C341EC"/>
    <w:rsid w:val="00C3431E"/>
    <w:rsid w:val="00C351FB"/>
    <w:rsid w:val="00C359A6"/>
    <w:rsid w:val="00C36223"/>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87C"/>
    <w:rsid w:val="00D34D3E"/>
    <w:rsid w:val="00D35362"/>
    <w:rsid w:val="00D35887"/>
    <w:rsid w:val="00D3590F"/>
    <w:rsid w:val="00D36B94"/>
    <w:rsid w:val="00D3748D"/>
    <w:rsid w:val="00D37B6F"/>
    <w:rsid w:val="00D37C58"/>
    <w:rsid w:val="00D40F57"/>
    <w:rsid w:val="00D42794"/>
    <w:rsid w:val="00D44B8B"/>
    <w:rsid w:val="00D454BE"/>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A6DE7"/>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0B56"/>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98F"/>
    <w:rsid w:val="00E76B29"/>
    <w:rsid w:val="00E76B33"/>
    <w:rsid w:val="00E76BF0"/>
    <w:rsid w:val="00E77CF3"/>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0144"/>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77438"/>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4206/"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147/"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08C313-0A37-4478-BC5D-B8B2433B5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Pages>
  <Words>439</Words>
  <Characters>2503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CPD Course: Home Ownership Scheme in Hong Kong: Private Sector Participation Scheme Development and Black Spot Task Force</vt:lpstr>
    </vt:vector>
  </TitlesOfParts>
  <Manager>Tyrone Tsang</Manager>
  <Company>The Profectional Company Limited</Company>
  <LinksUpToDate>false</LinksUpToDate>
  <CharactersWithSpaces>2937</CharactersWithSpaces>
  <SharedDoc>false</SharedDoc>
  <HyperlinkBase>http://download.profectional.com/events/EVT000000147.docx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Leave and Standing in Judicial Review</dc:title>
  <dc:subject>CPD Course: Leave and Standing in Judicial Review</dc:subject>
  <dc:creator>The Profectional Company Limited</dc:creator>
  <cp:keywords>Profectional; Kornerstone; CPD; CPT; CLE; CE; RME; Stephen Thomson; Assistant Professor; The Chinese University of Hong Kong</cp:keywords>
  <cp:lastModifiedBy>Tyrone Tsang</cp:lastModifiedBy>
  <cp:revision>34</cp:revision>
  <cp:lastPrinted>2016-09-08T12:07:00Z</cp:lastPrinted>
  <dcterms:created xsi:type="dcterms:W3CDTF">2015-08-21T08:33:00Z</dcterms:created>
  <dcterms:modified xsi:type="dcterms:W3CDTF">2016-09-08T12:07:00Z</dcterms:modified>
</cp:coreProperties>
</file>