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D71" w:rsidRPr="005C6D71" w:rsidRDefault="005C6D71" w:rsidP="005C6D7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5C6D71" w:rsidRPr="00523A64" w:rsidTr="00B7387F">
        <w:trPr>
          <w:trHeight w:val="3119"/>
          <w:jc w:val="center"/>
        </w:trPr>
        <w:tc>
          <w:tcPr>
            <w:tcW w:w="4820" w:type="dxa"/>
            <w:shd w:val="clear" w:color="auto" w:fill="FFFFFF"/>
            <w:vAlign w:val="center"/>
          </w:tcPr>
          <w:p w:rsidR="005C6D71" w:rsidRPr="008259A9" w:rsidRDefault="005C6D71" w:rsidP="00B7387F">
            <w:pPr>
              <w:jc w:val="center"/>
              <w:rPr>
                <w:rFonts w:ascii="Arial" w:hAnsi="Arial" w:cs="Arial"/>
                <w:b/>
                <w:bCs/>
                <w:color w:val="524B48"/>
                <w:sz w:val="4"/>
                <w:szCs w:val="4"/>
              </w:rPr>
            </w:pPr>
          </w:p>
          <w:p w:rsidR="005C6D71" w:rsidRDefault="005C6D71" w:rsidP="00B7387F">
            <w:pPr>
              <w:jc w:val="center"/>
              <w:rPr>
                <w:rStyle w:val="Hyperlink"/>
                <w:rFonts w:ascii="Arial" w:hAnsi="Arial" w:cs="Arial"/>
                <w:b/>
                <w:bCs/>
                <w:color w:val="524B48"/>
                <w:sz w:val="32"/>
                <w:szCs w:val="32"/>
                <w:u w:val="none"/>
              </w:rPr>
            </w:pPr>
            <w:r>
              <w:fldChar w:fldCharType="begin"/>
            </w:r>
            <w:r>
              <w:instrText>HYPERLINK "http://cpd.hk/evt000000148/"</w:instrText>
            </w:r>
            <w:r>
              <w:fldChar w:fldCharType="separate"/>
            </w:r>
            <w:r>
              <w:rPr>
                <w:rStyle w:val="Hyperlink"/>
                <w:rFonts w:ascii="Arial" w:hAnsi="Arial" w:cs="Arial"/>
                <w:b/>
                <w:bCs/>
                <w:color w:val="524B48"/>
                <w:sz w:val="32"/>
                <w:szCs w:val="32"/>
                <w:u w:val="none"/>
              </w:rPr>
              <w:t>Breach of</w:t>
            </w:r>
          </w:p>
          <w:p w:rsidR="005C6D71" w:rsidRDefault="005C6D71" w:rsidP="00B7387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Legitimate Expectations</w:t>
            </w:r>
          </w:p>
          <w:p w:rsidR="005C6D71" w:rsidRDefault="005C6D71" w:rsidP="00B7387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as a Ground of</w:t>
            </w:r>
          </w:p>
          <w:p w:rsidR="005C6D71" w:rsidRPr="00032DE4" w:rsidRDefault="005C6D71" w:rsidP="00B7387F">
            <w:pPr>
              <w:jc w:val="center"/>
              <w:rPr>
                <w:rFonts w:ascii="Arial" w:hAnsi="Arial" w:cs="Arial"/>
                <w:b/>
                <w:bCs/>
                <w:color w:val="524B48"/>
                <w:sz w:val="32"/>
                <w:szCs w:val="32"/>
              </w:rPr>
            </w:pPr>
            <w:r>
              <w:rPr>
                <w:rStyle w:val="Hyperlink"/>
                <w:rFonts w:ascii="Arial" w:hAnsi="Arial" w:cs="Arial"/>
                <w:b/>
                <w:bCs/>
                <w:color w:val="524B48"/>
                <w:sz w:val="32"/>
                <w:szCs w:val="32"/>
                <w:u w:val="none"/>
              </w:rPr>
              <w:t>Judicial Review</w:t>
            </w:r>
            <w:r>
              <w:rPr>
                <w:rStyle w:val="Hyperlink"/>
                <w:rFonts w:ascii="Arial" w:hAnsi="Arial" w:cs="Arial"/>
                <w:b/>
                <w:bCs/>
                <w:color w:val="524B48"/>
                <w:sz w:val="32"/>
                <w:szCs w:val="32"/>
                <w:u w:val="none"/>
              </w:rPr>
              <w:fldChar w:fldCharType="end"/>
            </w:r>
          </w:p>
          <w:p w:rsidR="005C6D71" w:rsidRPr="00731F7F" w:rsidRDefault="005C6D71" w:rsidP="00B7387F">
            <w:pPr>
              <w:jc w:val="center"/>
              <w:rPr>
                <w:rFonts w:ascii="Arial" w:hAnsi="Arial" w:cs="Arial"/>
                <w:b/>
                <w:bCs/>
                <w:sz w:val="24"/>
                <w:szCs w:val="28"/>
              </w:rPr>
            </w:pPr>
          </w:p>
          <w:p w:rsidR="005C6D71" w:rsidRPr="009D67FA" w:rsidRDefault="005C6D71" w:rsidP="00B7387F">
            <w:pPr>
              <w:jc w:val="center"/>
              <w:rPr>
                <w:rFonts w:ascii="Arial" w:hAnsi="Arial" w:cs="Arial"/>
                <w:i/>
                <w:color w:val="6C6361"/>
                <w:sz w:val="24"/>
                <w:szCs w:val="24"/>
              </w:rPr>
            </w:pPr>
            <w:r w:rsidRPr="009D67FA">
              <w:rPr>
                <w:rFonts w:ascii="Arial" w:hAnsi="Arial" w:cs="Arial"/>
                <w:i/>
                <w:color w:val="6C6361"/>
                <w:sz w:val="24"/>
                <w:szCs w:val="24"/>
              </w:rPr>
              <w:t>by</w:t>
            </w:r>
          </w:p>
          <w:p w:rsidR="005C6D71" w:rsidRDefault="005C6D71" w:rsidP="00B7387F">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5C6D71" w:rsidRDefault="005C6D71" w:rsidP="00B7387F">
            <w:pPr>
              <w:spacing w:line="276" w:lineRule="auto"/>
              <w:jc w:val="center"/>
              <w:rPr>
                <w:rFonts w:ascii="Arial" w:hAnsi="Arial" w:cs="Arial"/>
                <w:color w:val="6C6361"/>
                <w:sz w:val="24"/>
                <w:szCs w:val="24"/>
              </w:rPr>
            </w:pPr>
            <w:r>
              <w:rPr>
                <w:rFonts w:ascii="Arial" w:hAnsi="Arial" w:cs="Arial"/>
                <w:color w:val="6C6361"/>
                <w:sz w:val="24"/>
                <w:szCs w:val="24"/>
              </w:rPr>
              <w:t>Assistant Professor,</w:t>
            </w:r>
          </w:p>
          <w:p w:rsidR="005C6D71" w:rsidRDefault="005C6D71" w:rsidP="00B7387F">
            <w:pPr>
              <w:spacing w:line="276" w:lineRule="auto"/>
              <w:jc w:val="center"/>
              <w:rPr>
                <w:rFonts w:ascii="Arial" w:hAnsi="Arial" w:cs="Arial"/>
                <w:color w:val="6C6361"/>
                <w:sz w:val="24"/>
                <w:szCs w:val="24"/>
              </w:rPr>
            </w:pPr>
            <w:r>
              <w:rPr>
                <w:rFonts w:ascii="Arial" w:hAnsi="Arial" w:cs="Arial"/>
                <w:color w:val="6C6361"/>
                <w:sz w:val="24"/>
                <w:szCs w:val="24"/>
              </w:rPr>
              <w:t>The Chinese University of Hong Kong</w:t>
            </w:r>
          </w:p>
          <w:p w:rsidR="005C6D71" w:rsidRPr="008259A9" w:rsidRDefault="005C6D71" w:rsidP="00B7387F">
            <w:pPr>
              <w:jc w:val="center"/>
              <w:rPr>
                <w:rFonts w:ascii="Arial" w:hAnsi="Arial" w:cs="Arial"/>
                <w:color w:val="6C6361"/>
                <w:sz w:val="4"/>
                <w:szCs w:val="4"/>
              </w:rPr>
            </w:pPr>
          </w:p>
        </w:tc>
        <w:tc>
          <w:tcPr>
            <w:tcW w:w="5954" w:type="dxa"/>
            <w:shd w:val="clear" w:color="auto" w:fill="FFFFFF"/>
            <w:vAlign w:val="center"/>
          </w:tcPr>
          <w:p w:rsidR="005C6D71" w:rsidRPr="00D50772" w:rsidRDefault="005C6D71" w:rsidP="00B7387F">
            <w:pPr>
              <w:spacing w:line="276" w:lineRule="auto"/>
              <w:jc w:val="center"/>
              <w:rPr>
                <w:rFonts w:ascii="Arial" w:eastAsia="Times New Roman" w:hAnsi="Arial" w:cs="Arial"/>
                <w:noProof/>
                <w:sz w:val="20"/>
                <w:szCs w:val="20"/>
              </w:rPr>
            </w:pPr>
            <w:r w:rsidRPr="00BC3239">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60FC5B0E" wp14:editId="4C3E1747">
                  <wp:simplePos x="0" y="0"/>
                  <wp:positionH relativeFrom="column">
                    <wp:posOffset>3176270</wp:posOffset>
                  </wp:positionH>
                  <wp:positionV relativeFrom="paragraph">
                    <wp:posOffset>-55880</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50FEDEA" wp14:editId="4F26EBCB">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5C6D71" w:rsidRPr="00F26BAF" w:rsidRDefault="005C6D71" w:rsidP="005C6D71">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5C6D71" w:rsidRPr="00F26BAF" w:rsidTr="00B7387F">
        <w:trPr>
          <w:trHeight w:val="3832"/>
          <w:jc w:val="center"/>
        </w:trPr>
        <w:tc>
          <w:tcPr>
            <w:tcW w:w="1985" w:type="dxa"/>
            <w:shd w:val="clear" w:color="auto" w:fill="FFFFFF"/>
            <w:vAlign w:val="center"/>
          </w:tcPr>
          <w:p w:rsidR="005C6D71" w:rsidRPr="00F26BAF" w:rsidRDefault="005C6D71" w:rsidP="00B7387F">
            <w:pPr>
              <w:spacing w:line="276" w:lineRule="auto"/>
              <w:jc w:val="center"/>
              <w:rPr>
                <w:rFonts w:ascii="Arial" w:hAnsi="Arial" w:cs="Arial"/>
                <w:sz w:val="24"/>
                <w:szCs w:val="24"/>
              </w:rPr>
            </w:pPr>
            <w:r w:rsidRPr="00F26BAF">
              <w:rPr>
                <w:rFonts w:ascii="Arial" w:hAnsi="Arial" w:cs="Arial"/>
                <w:noProof/>
                <w:sz w:val="24"/>
                <w:szCs w:val="24"/>
              </w:rPr>
              <w:drawing>
                <wp:inline distT="0" distB="0" distL="0" distR="0" wp14:anchorId="2330B705" wp14:editId="1EEA005A">
                  <wp:extent cx="1078705" cy="1438273"/>
                  <wp:effectExtent l="0" t="0" r="7620" b="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5C6D71" w:rsidRPr="00F26BAF" w:rsidRDefault="005C6D71" w:rsidP="00B7387F">
            <w:pPr>
              <w:spacing w:line="276" w:lineRule="auto"/>
              <w:rPr>
                <w:rFonts w:ascii="Arial" w:hAnsi="Arial" w:cs="Arial"/>
                <w:sz w:val="24"/>
                <w:szCs w:val="24"/>
              </w:rPr>
            </w:pPr>
            <w:r w:rsidRPr="00BD7501">
              <w:rPr>
                <w:rFonts w:ascii="Arial" w:hAnsi="Arial" w:cs="Arial"/>
                <w:color w:val="6C6361"/>
                <w:sz w:val="24"/>
                <w:szCs w:val="24"/>
              </w:rPr>
              <w:t>Stephen Thomson is an Assistant Professor at the Chinese University of Hong Kong (CUHK), where he leads teaching in administrative law.  Dr. Thomson holds a Ph.D. in judicial review from the University of Edinburgh (UK), where he previously taught constitutional and administrative law on a part-time basis.  In addition to his experience in the field of administrative law, Dr. Thomson is the leading authority on equitable jurisdiction in Scotland where he has written the only book on that subject.  Dr. Thomson has practical legal and commercial experience, having worked at law firms and barristers' chambers in the UK and Channel Islands.  He has acted on a consultancy basis to law firms, private clients and public bodies in Hong Kong and the UK.  Dr. Thomson is also a Legal Adviser to the Ombudsman of Hong Kong.</w:t>
            </w:r>
          </w:p>
        </w:tc>
      </w:tr>
    </w:tbl>
    <w:p w:rsidR="005C6D71" w:rsidRPr="00F26BAF" w:rsidRDefault="005C6D71" w:rsidP="005C6D71">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5C6D71" w:rsidRPr="00BD7501" w:rsidTr="00B7387F">
        <w:trPr>
          <w:trHeight w:val="5412"/>
          <w:jc w:val="center"/>
        </w:trPr>
        <w:tc>
          <w:tcPr>
            <w:tcW w:w="10773" w:type="dxa"/>
            <w:shd w:val="clear" w:color="auto" w:fill="FFFFFF"/>
            <w:vAlign w:val="center"/>
          </w:tcPr>
          <w:p w:rsidR="005C6D71" w:rsidRPr="00BC3239" w:rsidRDefault="005C6D71" w:rsidP="00B7387F">
            <w:pPr>
              <w:spacing w:line="276" w:lineRule="auto"/>
              <w:rPr>
                <w:rFonts w:ascii="Arial" w:hAnsi="Arial" w:cs="Arial"/>
                <w:color w:val="6C6361"/>
                <w:sz w:val="24"/>
                <w:szCs w:val="24"/>
              </w:rPr>
            </w:pPr>
            <w:r w:rsidRPr="00BC3239">
              <w:rPr>
                <w:rFonts w:ascii="Arial" w:hAnsi="Arial" w:cs="Arial"/>
                <w:color w:val="6C6361"/>
                <w:sz w:val="24"/>
                <w:szCs w:val="24"/>
              </w:rPr>
              <w:t>This is an intermediate level course on breach of legitimate expectations as a ground of judicial review.  This increasingly important area of administrative law in Hong Kong comprises breach of both procedural and substantive expectations.  We will move from basic principles to consider how legitimate expectations arise, who can cause them to be created, and how they can be protected.</w:t>
            </w:r>
          </w:p>
          <w:p w:rsidR="005C6D71" w:rsidRPr="00BC3239" w:rsidRDefault="005C6D71" w:rsidP="00B7387F">
            <w:pPr>
              <w:spacing w:line="276" w:lineRule="auto"/>
              <w:rPr>
                <w:rFonts w:ascii="Arial" w:hAnsi="Arial" w:cs="Arial"/>
                <w:color w:val="6C6361"/>
                <w:sz w:val="24"/>
                <w:szCs w:val="24"/>
              </w:rPr>
            </w:pPr>
          </w:p>
          <w:p w:rsidR="005C6D71" w:rsidRPr="00BC3239" w:rsidRDefault="005C6D71" w:rsidP="00B7387F">
            <w:pPr>
              <w:spacing w:line="276" w:lineRule="auto"/>
              <w:rPr>
                <w:rFonts w:ascii="Arial" w:hAnsi="Arial" w:cs="Arial"/>
                <w:color w:val="6C6361"/>
                <w:sz w:val="24"/>
                <w:szCs w:val="24"/>
              </w:rPr>
            </w:pPr>
            <w:r w:rsidRPr="00BC3239">
              <w:rPr>
                <w:rFonts w:ascii="Arial" w:hAnsi="Arial" w:cs="Arial"/>
                <w:color w:val="6C6361"/>
                <w:sz w:val="24"/>
                <w:szCs w:val="24"/>
              </w:rPr>
              <w:t>Can legitimate expectations be generated by conduct? How have the courts responded where a specific and a general class of persons have each sought to claim legitimate expectations? Can the representations or conduct of one government department bind another department? Must the applicant have had knowledge of the representation and detrimentally relied on it? Can the conduct of the applicant frustrate what might otherwise have been a legitimate claim to have a legitimate expectation?</w:t>
            </w:r>
          </w:p>
          <w:p w:rsidR="005C6D71" w:rsidRPr="00BC3239" w:rsidRDefault="005C6D71" w:rsidP="00B7387F">
            <w:pPr>
              <w:spacing w:line="276" w:lineRule="auto"/>
              <w:rPr>
                <w:rFonts w:ascii="Arial" w:hAnsi="Arial" w:cs="Arial"/>
                <w:color w:val="6C6361"/>
                <w:sz w:val="24"/>
                <w:szCs w:val="24"/>
              </w:rPr>
            </w:pPr>
          </w:p>
          <w:p w:rsidR="005C6D71" w:rsidRPr="00BD7501" w:rsidRDefault="005C6D71" w:rsidP="00B7387F">
            <w:pPr>
              <w:spacing w:line="276" w:lineRule="auto"/>
              <w:rPr>
                <w:rFonts w:ascii="Arial" w:hAnsi="Arial" w:cs="Arial"/>
                <w:color w:val="6C6361"/>
                <w:sz w:val="24"/>
                <w:szCs w:val="24"/>
              </w:rPr>
            </w:pPr>
            <w:r w:rsidRPr="00BC3239">
              <w:rPr>
                <w:rFonts w:ascii="Arial" w:hAnsi="Arial" w:cs="Arial"/>
                <w:color w:val="6C6361"/>
                <w:sz w:val="24"/>
                <w:szCs w:val="24"/>
              </w:rPr>
              <w:t>These and other important questions in this growing area of administrative law will be explored, together with a number of major cases in this area including Ng Siu Tung v Director of Immigration (2002) and the recent, topical decisions in Hong Kong Television Network Ltd v Chief Executive in Council (2015/2016).</w:t>
            </w:r>
          </w:p>
        </w:tc>
      </w:tr>
    </w:tbl>
    <w:p w:rsidR="005C6D71" w:rsidRDefault="005C6D71" w:rsidP="005C6D71">
      <w:pPr>
        <w:spacing w:line="276" w:lineRule="auto"/>
        <w:jc w:val="left"/>
        <w:rPr>
          <w:rFonts w:ascii="Arial" w:hAnsi="Arial" w:cs="Arial"/>
          <w:sz w:val="20"/>
        </w:rPr>
      </w:pPr>
    </w:p>
    <w:p w:rsidR="005C6D71" w:rsidRDefault="005C6D71" w:rsidP="005C6D71">
      <w:pPr>
        <w:spacing w:line="276" w:lineRule="auto"/>
        <w:jc w:val="left"/>
        <w:rPr>
          <w:rFonts w:ascii="Arial" w:hAnsi="Arial" w:cs="Arial"/>
          <w:sz w:val="20"/>
        </w:rPr>
      </w:pPr>
    </w:p>
    <w:p w:rsidR="005C6D71" w:rsidRDefault="005C6D71" w:rsidP="005C6D71">
      <w:pPr>
        <w:spacing w:line="276" w:lineRule="auto"/>
        <w:jc w:val="left"/>
        <w:rPr>
          <w:rFonts w:ascii="Arial" w:hAnsi="Arial" w:cs="Arial"/>
          <w:sz w:val="20"/>
        </w:rPr>
      </w:pPr>
    </w:p>
    <w:p w:rsidR="005C6D71" w:rsidRDefault="005C6D71" w:rsidP="005C6D71">
      <w:pPr>
        <w:spacing w:line="276" w:lineRule="auto"/>
        <w:jc w:val="left"/>
        <w:rPr>
          <w:rFonts w:ascii="Arial" w:hAnsi="Arial" w:cs="Arial"/>
          <w:sz w:val="20"/>
        </w:rPr>
      </w:pPr>
    </w:p>
    <w:p w:rsidR="005C6D71" w:rsidRPr="005C6D71" w:rsidRDefault="005C6D71" w:rsidP="005C6D71">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5C6D71" w:rsidRPr="00BD7501" w:rsidTr="00B7387F">
        <w:trPr>
          <w:trHeight w:val="397"/>
          <w:jc w:val="center"/>
        </w:trPr>
        <w:tc>
          <w:tcPr>
            <w:tcW w:w="10773" w:type="dxa"/>
            <w:gridSpan w:val="2"/>
            <w:tcBorders>
              <w:top w:val="nil"/>
            </w:tcBorders>
            <w:shd w:val="clear" w:color="auto" w:fill="F0EBE1"/>
            <w:vAlign w:val="center"/>
          </w:tcPr>
          <w:p w:rsidR="005C6D71" w:rsidRPr="00BD7501" w:rsidRDefault="005C6D71" w:rsidP="00B7387F">
            <w:pPr>
              <w:spacing w:line="276" w:lineRule="auto"/>
              <w:jc w:val="left"/>
              <w:rPr>
                <w:rFonts w:ascii="Arial" w:hAnsi="Arial" w:cs="Arial"/>
                <w:b/>
                <w:color w:val="524B48"/>
                <w:sz w:val="24"/>
                <w:szCs w:val="24"/>
              </w:rPr>
            </w:pPr>
            <w:r w:rsidRPr="00BD7501">
              <w:rPr>
                <w:rFonts w:ascii="Arial" w:hAnsi="Arial" w:cs="Arial"/>
                <w:b/>
                <w:color w:val="524B48"/>
                <w:sz w:val="24"/>
                <w:szCs w:val="24"/>
              </w:rPr>
              <w:lastRenderedPageBreak/>
              <w:t>Contents</w:t>
            </w:r>
          </w:p>
        </w:tc>
      </w:tr>
      <w:tr w:rsidR="005C6D71" w:rsidRPr="00BD7501" w:rsidTr="00B7387F">
        <w:trPr>
          <w:trHeight w:val="3577"/>
          <w:jc w:val="center"/>
        </w:trPr>
        <w:tc>
          <w:tcPr>
            <w:tcW w:w="8931" w:type="dxa"/>
            <w:tcBorders>
              <w:bottom w:val="nil"/>
              <w:right w:val="nil"/>
            </w:tcBorders>
            <w:shd w:val="clear" w:color="auto" w:fill="FFFFFF"/>
            <w:vAlign w:val="center"/>
          </w:tcPr>
          <w:p w:rsidR="005C6D71" w:rsidRPr="00BC3239" w:rsidRDefault="005C6D71" w:rsidP="00B7387F">
            <w:pPr>
              <w:pStyle w:val="ListParagraph"/>
              <w:numPr>
                <w:ilvl w:val="0"/>
                <w:numId w:val="2"/>
              </w:numPr>
              <w:spacing w:line="276" w:lineRule="auto"/>
              <w:rPr>
                <w:rFonts w:ascii="Arial" w:hAnsi="Arial" w:cs="Arial"/>
                <w:color w:val="6C6361"/>
                <w:sz w:val="24"/>
                <w:szCs w:val="24"/>
              </w:rPr>
            </w:pPr>
            <w:r w:rsidRPr="00BC3239">
              <w:rPr>
                <w:rFonts w:ascii="Arial" w:hAnsi="Arial" w:cs="Arial"/>
                <w:color w:val="6C6361"/>
                <w:sz w:val="24"/>
                <w:szCs w:val="24"/>
              </w:rPr>
              <w:t>What are legitimate expectations?</w:t>
            </w:r>
          </w:p>
          <w:p w:rsidR="005C6D71" w:rsidRPr="00BC3239" w:rsidRDefault="005C6D71" w:rsidP="00B7387F">
            <w:pPr>
              <w:pStyle w:val="ListParagraph"/>
              <w:numPr>
                <w:ilvl w:val="0"/>
                <w:numId w:val="2"/>
              </w:numPr>
              <w:spacing w:line="276" w:lineRule="auto"/>
              <w:rPr>
                <w:rFonts w:ascii="Arial" w:hAnsi="Arial" w:cs="Arial"/>
                <w:color w:val="6C6361"/>
                <w:sz w:val="24"/>
                <w:szCs w:val="24"/>
              </w:rPr>
            </w:pPr>
            <w:r w:rsidRPr="00BC3239">
              <w:rPr>
                <w:rFonts w:ascii="Arial" w:hAnsi="Arial" w:cs="Arial"/>
                <w:color w:val="6C6361"/>
                <w:sz w:val="24"/>
                <w:szCs w:val="24"/>
              </w:rPr>
              <w:t>Who can generate legitimate expectations?</w:t>
            </w:r>
          </w:p>
          <w:p w:rsidR="005C6D71" w:rsidRPr="00BC3239" w:rsidRDefault="005C6D71" w:rsidP="00B7387F">
            <w:pPr>
              <w:pStyle w:val="ListParagraph"/>
              <w:numPr>
                <w:ilvl w:val="0"/>
                <w:numId w:val="2"/>
              </w:numPr>
              <w:spacing w:line="276" w:lineRule="auto"/>
              <w:rPr>
                <w:rFonts w:ascii="Arial" w:hAnsi="Arial" w:cs="Arial"/>
                <w:color w:val="6C6361"/>
                <w:sz w:val="24"/>
                <w:szCs w:val="24"/>
              </w:rPr>
            </w:pPr>
            <w:r w:rsidRPr="00BC3239">
              <w:rPr>
                <w:rFonts w:ascii="Arial" w:hAnsi="Arial" w:cs="Arial"/>
                <w:color w:val="6C6361"/>
                <w:sz w:val="24"/>
                <w:szCs w:val="24"/>
              </w:rPr>
              <w:t>How are they generated?</w:t>
            </w:r>
          </w:p>
          <w:p w:rsidR="005C6D71" w:rsidRPr="00BC3239" w:rsidRDefault="005C6D71" w:rsidP="00B7387F">
            <w:pPr>
              <w:pStyle w:val="ListParagraph"/>
              <w:numPr>
                <w:ilvl w:val="0"/>
                <w:numId w:val="2"/>
              </w:numPr>
              <w:spacing w:line="276" w:lineRule="auto"/>
              <w:rPr>
                <w:rFonts w:ascii="Arial" w:hAnsi="Arial" w:cs="Arial"/>
                <w:color w:val="6C6361"/>
                <w:sz w:val="24"/>
                <w:szCs w:val="24"/>
              </w:rPr>
            </w:pPr>
            <w:r w:rsidRPr="00BC3239">
              <w:rPr>
                <w:rFonts w:ascii="Arial" w:hAnsi="Arial" w:cs="Arial"/>
                <w:color w:val="6C6361"/>
                <w:sz w:val="24"/>
                <w:szCs w:val="24"/>
              </w:rPr>
              <w:t>How are they protected?</w:t>
            </w:r>
          </w:p>
          <w:p w:rsidR="005C6D71" w:rsidRPr="00BC3239" w:rsidRDefault="005C6D71" w:rsidP="00B7387F">
            <w:pPr>
              <w:pStyle w:val="ListParagraph"/>
              <w:numPr>
                <w:ilvl w:val="0"/>
                <w:numId w:val="2"/>
              </w:numPr>
              <w:spacing w:line="276" w:lineRule="auto"/>
              <w:rPr>
                <w:rFonts w:ascii="Arial" w:hAnsi="Arial" w:cs="Arial"/>
                <w:color w:val="6C6361"/>
                <w:sz w:val="24"/>
                <w:szCs w:val="24"/>
              </w:rPr>
            </w:pPr>
            <w:r w:rsidRPr="00BC3239">
              <w:rPr>
                <w:rFonts w:ascii="Arial" w:hAnsi="Arial" w:cs="Arial"/>
                <w:color w:val="6C6361"/>
                <w:sz w:val="24"/>
                <w:szCs w:val="24"/>
              </w:rPr>
              <w:t>Have the courts differentiated between specific and general classes of persons purporting to claim legitimate expectations?</w:t>
            </w:r>
          </w:p>
          <w:p w:rsidR="005C6D71" w:rsidRPr="00BC3239" w:rsidRDefault="005C6D71" w:rsidP="00B7387F">
            <w:pPr>
              <w:pStyle w:val="ListParagraph"/>
              <w:numPr>
                <w:ilvl w:val="0"/>
                <w:numId w:val="2"/>
              </w:numPr>
              <w:spacing w:line="276" w:lineRule="auto"/>
              <w:rPr>
                <w:rFonts w:ascii="Arial" w:hAnsi="Arial" w:cs="Arial"/>
                <w:color w:val="6C6361"/>
                <w:sz w:val="24"/>
                <w:szCs w:val="24"/>
              </w:rPr>
            </w:pPr>
            <w:r w:rsidRPr="00BC3239">
              <w:rPr>
                <w:rFonts w:ascii="Arial" w:hAnsi="Arial" w:cs="Arial"/>
                <w:color w:val="6C6361"/>
                <w:sz w:val="24"/>
                <w:szCs w:val="24"/>
              </w:rPr>
              <w:t>Can the representations or conduct of one government department bind another department?</w:t>
            </w:r>
          </w:p>
          <w:p w:rsidR="005C6D71" w:rsidRPr="00BC3239" w:rsidRDefault="005C6D71" w:rsidP="00B7387F">
            <w:pPr>
              <w:pStyle w:val="ListParagraph"/>
              <w:numPr>
                <w:ilvl w:val="0"/>
                <w:numId w:val="2"/>
              </w:numPr>
              <w:spacing w:line="276" w:lineRule="auto"/>
              <w:rPr>
                <w:rFonts w:ascii="Arial" w:hAnsi="Arial" w:cs="Arial"/>
                <w:color w:val="6C6361"/>
                <w:sz w:val="24"/>
                <w:szCs w:val="24"/>
              </w:rPr>
            </w:pPr>
            <w:r w:rsidRPr="00BC3239">
              <w:rPr>
                <w:rFonts w:ascii="Arial" w:hAnsi="Arial" w:cs="Arial"/>
                <w:color w:val="6C6361"/>
                <w:sz w:val="24"/>
                <w:szCs w:val="24"/>
              </w:rPr>
              <w:t>The role of knowledge and (detrimental) reliance</w:t>
            </w:r>
          </w:p>
          <w:p w:rsidR="005C6D71" w:rsidRPr="00BD7501" w:rsidRDefault="005C6D71" w:rsidP="00B7387F">
            <w:pPr>
              <w:pStyle w:val="ListParagraph"/>
              <w:numPr>
                <w:ilvl w:val="0"/>
                <w:numId w:val="2"/>
              </w:numPr>
              <w:spacing w:line="276" w:lineRule="auto"/>
              <w:rPr>
                <w:rFonts w:ascii="Arial" w:hAnsi="Arial" w:cs="Arial"/>
                <w:color w:val="6C6361"/>
                <w:sz w:val="24"/>
                <w:szCs w:val="24"/>
              </w:rPr>
            </w:pPr>
            <w:r w:rsidRPr="00BC3239">
              <w:rPr>
                <w:rFonts w:ascii="Arial" w:hAnsi="Arial" w:cs="Arial"/>
                <w:color w:val="6C6361"/>
                <w:sz w:val="24"/>
                <w:szCs w:val="24"/>
              </w:rPr>
              <w:t>Conduct of the applicant</w:t>
            </w:r>
          </w:p>
        </w:tc>
        <w:tc>
          <w:tcPr>
            <w:tcW w:w="1842" w:type="dxa"/>
            <w:tcBorders>
              <w:left w:val="nil"/>
              <w:bottom w:val="nil"/>
            </w:tcBorders>
            <w:shd w:val="clear" w:color="auto" w:fill="FFFFFF"/>
            <w:vAlign w:val="center"/>
          </w:tcPr>
          <w:p w:rsidR="005C6D71" w:rsidRDefault="005C6D71" w:rsidP="00B7387F">
            <w:pPr>
              <w:spacing w:line="276" w:lineRule="auto"/>
              <w:jc w:val="center"/>
              <w:rPr>
                <w:rFonts w:ascii="Arial" w:hAnsi="Arial" w:cs="Arial"/>
                <w:color w:val="6C6361"/>
                <w:sz w:val="24"/>
                <w:szCs w:val="24"/>
              </w:rPr>
            </w:pPr>
          </w:p>
          <w:p w:rsidR="005C6D71" w:rsidRDefault="005C6D71" w:rsidP="00B7387F">
            <w:pPr>
              <w:spacing w:line="276" w:lineRule="auto"/>
              <w:jc w:val="center"/>
              <w:rPr>
                <w:rFonts w:ascii="Arial" w:hAnsi="Arial" w:cs="Arial"/>
                <w:color w:val="6C6361"/>
                <w:sz w:val="24"/>
                <w:szCs w:val="24"/>
              </w:rPr>
            </w:pPr>
          </w:p>
          <w:p w:rsidR="005C6D71" w:rsidRDefault="005C6D71" w:rsidP="00B7387F">
            <w:pPr>
              <w:spacing w:line="276" w:lineRule="auto"/>
              <w:jc w:val="center"/>
              <w:rPr>
                <w:rFonts w:ascii="Arial" w:hAnsi="Arial" w:cs="Arial"/>
                <w:color w:val="6C6361"/>
                <w:sz w:val="24"/>
                <w:szCs w:val="24"/>
              </w:rPr>
            </w:pPr>
          </w:p>
          <w:p w:rsidR="005C6D71" w:rsidRDefault="005C6D71" w:rsidP="00B7387F">
            <w:pPr>
              <w:spacing w:line="276" w:lineRule="auto"/>
              <w:jc w:val="center"/>
              <w:rPr>
                <w:rFonts w:ascii="Arial" w:hAnsi="Arial" w:cs="Arial"/>
                <w:color w:val="6C6361"/>
                <w:sz w:val="24"/>
                <w:szCs w:val="24"/>
              </w:rPr>
            </w:pPr>
          </w:p>
          <w:p w:rsidR="005C6D71" w:rsidRDefault="005C6D71" w:rsidP="00B7387F">
            <w:pPr>
              <w:spacing w:line="276" w:lineRule="auto"/>
              <w:jc w:val="center"/>
              <w:rPr>
                <w:rFonts w:ascii="Arial" w:hAnsi="Arial" w:cs="Arial"/>
                <w:color w:val="6C6361"/>
                <w:sz w:val="24"/>
                <w:szCs w:val="24"/>
              </w:rPr>
            </w:pPr>
          </w:p>
          <w:p w:rsidR="005C6D71" w:rsidRPr="00D237B1" w:rsidRDefault="005C6D71" w:rsidP="00B7387F">
            <w:pPr>
              <w:spacing w:line="276" w:lineRule="auto"/>
              <w:jc w:val="center"/>
              <w:rPr>
                <w:rFonts w:ascii="Arial" w:hAnsi="Arial" w:cs="Arial"/>
                <w:color w:val="6C6361"/>
                <w:sz w:val="24"/>
                <w:szCs w:val="24"/>
              </w:rPr>
            </w:pPr>
            <w:r w:rsidRPr="00BC3239">
              <w:rPr>
                <w:rFonts w:ascii="Arial" w:hAnsi="Arial" w:cs="Arial"/>
                <w:noProof/>
                <w:color w:val="6C6361"/>
                <w:sz w:val="24"/>
                <w:szCs w:val="24"/>
              </w:rPr>
              <w:drawing>
                <wp:inline distT="0" distB="0" distL="0" distR="0" wp14:anchorId="121C45C1" wp14:editId="61ACB469">
                  <wp:extent cx="892800" cy="10188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3E3BAF" w:rsidRPr="00896C14" w:rsidRDefault="003E3BAF" w:rsidP="005C693B">
      <w:pPr>
        <w:spacing w:line="276" w:lineRule="auto"/>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5C6D71" w:rsidRPr="005A2F25" w:rsidTr="00601EFD">
        <w:trPr>
          <w:trHeight w:val="397"/>
          <w:jc w:val="center"/>
        </w:trPr>
        <w:tc>
          <w:tcPr>
            <w:tcW w:w="1695" w:type="dxa"/>
            <w:tcBorders>
              <w:top w:val="nil"/>
              <w:left w:val="nil"/>
              <w:bottom w:val="single" w:sz="12" w:space="0" w:color="FFFFFF"/>
            </w:tcBorders>
            <w:shd w:val="clear" w:color="auto" w:fill="F0EBE1"/>
            <w:vAlign w:val="center"/>
          </w:tcPr>
          <w:p w:rsidR="005C6D71" w:rsidRPr="002343EF"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5C6D71" w:rsidRPr="002343EF"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EVT000000148</w:t>
            </w:r>
          </w:p>
        </w:tc>
        <w:tc>
          <w:tcPr>
            <w:tcW w:w="1700" w:type="dxa"/>
            <w:tcBorders>
              <w:top w:val="nil"/>
              <w:bottom w:val="single" w:sz="12" w:space="0" w:color="FFFFFF"/>
            </w:tcBorders>
            <w:shd w:val="clear" w:color="auto" w:fill="F0EBE1"/>
            <w:vAlign w:val="center"/>
          </w:tcPr>
          <w:p w:rsidR="005C6D71" w:rsidRPr="002343EF"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5C6D71" w:rsidRPr="002343EF"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5C6D71" w:rsidRPr="005A2F25" w:rsidTr="00601EFD">
        <w:trPr>
          <w:trHeight w:val="397"/>
          <w:jc w:val="center"/>
        </w:trPr>
        <w:tc>
          <w:tcPr>
            <w:tcW w:w="1695" w:type="dxa"/>
            <w:tcBorders>
              <w:top w:val="single" w:sz="12" w:space="0" w:color="FFFFFF"/>
              <w:left w:val="nil"/>
              <w:bottom w:val="single" w:sz="12" w:space="0" w:color="FFFFFF"/>
            </w:tcBorders>
            <w:shd w:val="clear" w:color="auto" w:fill="F0EBE1"/>
            <w:vAlign w:val="center"/>
          </w:tcPr>
          <w:p w:rsidR="005C6D71" w:rsidRPr="002343EF"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5C6D71" w:rsidRPr="006B70C1"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27 October 2016</w:t>
            </w:r>
            <w:r w:rsidRPr="00482956">
              <w:rPr>
                <w:rFonts w:ascii="Arial" w:hAnsi="Arial" w:cs="Arial"/>
                <w:b/>
                <w:color w:val="6C6361"/>
                <w:sz w:val="20"/>
                <w:szCs w:val="20"/>
              </w:rPr>
              <w:t xml:space="preserve"> (</w:t>
            </w:r>
            <w:r>
              <w:rPr>
                <w:rFonts w:ascii="Arial" w:hAnsi="Arial" w:cs="Arial"/>
                <w:b/>
                <w:color w:val="6C6361"/>
                <w:sz w:val="20"/>
                <w:szCs w:val="20"/>
              </w:rPr>
              <w:t>Thursday</w:t>
            </w:r>
            <w:r w:rsidRPr="00482956">
              <w:rPr>
                <w:rFonts w:ascii="Arial" w:hAnsi="Arial" w:cs="Arial"/>
                <w:b/>
                <w:color w:val="6C6361"/>
                <w:sz w:val="20"/>
                <w:szCs w:val="20"/>
              </w:rPr>
              <w:t>)</w:t>
            </w:r>
          </w:p>
        </w:tc>
        <w:tc>
          <w:tcPr>
            <w:tcW w:w="1700" w:type="dxa"/>
            <w:tcBorders>
              <w:top w:val="single" w:sz="12" w:space="0" w:color="FFFFFF"/>
              <w:bottom w:val="single" w:sz="12" w:space="0" w:color="FFFFFF"/>
            </w:tcBorders>
            <w:shd w:val="clear" w:color="auto" w:fill="F0EBE1"/>
            <w:vAlign w:val="center"/>
          </w:tcPr>
          <w:p w:rsidR="005C6D71" w:rsidRPr="002343EF"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5C6D71" w:rsidRPr="002343EF"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5C6D71" w:rsidRPr="005A2F25" w:rsidTr="00601EFD">
        <w:trPr>
          <w:trHeight w:val="397"/>
          <w:jc w:val="center"/>
        </w:trPr>
        <w:tc>
          <w:tcPr>
            <w:tcW w:w="1695" w:type="dxa"/>
            <w:tcBorders>
              <w:top w:val="single" w:sz="12" w:space="0" w:color="FFFFFF"/>
              <w:left w:val="nil"/>
              <w:bottom w:val="single" w:sz="12" w:space="0" w:color="FFFFFF"/>
            </w:tcBorders>
            <w:shd w:val="clear" w:color="auto" w:fill="F0EBE1"/>
            <w:vAlign w:val="center"/>
          </w:tcPr>
          <w:p w:rsidR="005C6D71" w:rsidRPr="002343EF"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5C6D71"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5C6D71" w:rsidRPr="00EC7ADB"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5C6D71" w:rsidRPr="002343EF"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5C6D71"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5C6D71" w:rsidRPr="00F7647D" w:rsidRDefault="005C6D71" w:rsidP="005C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F7647D">
              <w:rPr>
                <w:rFonts w:ascii="Arial" w:hAnsi="Arial" w:cs="Arial"/>
                <w:color w:val="6C6361"/>
                <w:sz w:val="20"/>
                <w:szCs w:val="20"/>
              </w:rPr>
              <w:t>(LSHK Allocated Number: 2016</w:t>
            </w:r>
            <w:r>
              <w:rPr>
                <w:rFonts w:ascii="Arial" w:hAnsi="Arial" w:cs="Arial"/>
                <w:color w:val="6C6361"/>
                <w:sz w:val="20"/>
                <w:szCs w:val="20"/>
              </w:rPr>
              <w:t>2584</w:t>
            </w:r>
            <w:r w:rsidRPr="00F7647D">
              <w:rPr>
                <w:rFonts w:ascii="Arial" w:hAnsi="Arial" w:cs="Arial"/>
                <w:color w:val="6C6361"/>
                <w:sz w:val="20"/>
                <w:szCs w:val="20"/>
              </w:rPr>
              <w:t>)</w:t>
            </w:r>
          </w:p>
        </w:tc>
      </w:tr>
      <w:tr w:rsidR="002F4919" w:rsidRPr="005A2F25" w:rsidTr="00601EFD">
        <w:trPr>
          <w:trHeight w:val="1247"/>
          <w:jc w:val="center"/>
        </w:trPr>
        <w:tc>
          <w:tcPr>
            <w:tcW w:w="1695" w:type="dxa"/>
            <w:tcBorders>
              <w:top w:val="single" w:sz="12" w:space="0" w:color="FFFFFF"/>
              <w:left w:val="nil"/>
              <w:bottom w:val="nil"/>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2F4919" w:rsidRPr="00482956" w:rsidRDefault="002F4919" w:rsidP="002F491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F4919" w:rsidRPr="00334CAE" w:rsidRDefault="002F4919" w:rsidP="002F491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F251754" wp14:editId="2CFCDCB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F4919" w:rsidRPr="00334CAE" w:rsidRDefault="002F4919" w:rsidP="002F4919">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2F4919" w:rsidRPr="00156567"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BAD2130" wp14:editId="3BDF292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C693B" w:rsidRDefault="00214BC6" w:rsidP="005C693B"/>
    <w:sectPr w:rsidR="00214BC6" w:rsidRPr="005C693B"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F3E" w:rsidRDefault="00C41F3E" w:rsidP="00546556">
      <w:r>
        <w:separator/>
      </w:r>
    </w:p>
  </w:endnote>
  <w:endnote w:type="continuationSeparator" w:id="0">
    <w:p w:rsidR="00C41F3E" w:rsidRDefault="00C41F3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F3E" w:rsidRDefault="00C41F3E" w:rsidP="00546556">
      <w:r>
        <w:separator/>
      </w:r>
    </w:p>
  </w:footnote>
  <w:footnote w:type="continuationSeparator" w:id="0">
    <w:p w:rsidR="00C41F3E" w:rsidRDefault="00C41F3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5ql72F7ot+R3KHTTdGV4x4X6G+sAqPU7UxIAK79dou+LDnuNEyshZv4E9ehWIgxrs/fxqeUtV4WEZKSF9TnU4w==" w:salt="05N6xaVPrCXNlZ3q7Chpb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4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73FBF-9D9A-424F-ABCC-652ECADD5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475</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Leave and Standing in Judicial Review</vt:lpstr>
    </vt:vector>
  </TitlesOfParts>
  <Manager>Tyrone Tsang</Manager>
  <Company>The Profectional Company Limited</Company>
  <LinksUpToDate>false</LinksUpToDate>
  <CharactersWithSpaces>3181</CharactersWithSpaces>
  <SharedDoc>false</SharedDoc>
  <HyperlinkBase>http://download.profectional.com/events/EVT000000148.docx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Breach of Legitimate Expectations as a Ground of Judicial Review</dc:title>
  <dc:subject>CPD Course: Breach of Legitimate Expectations as a Ground of Judicial Review</dc:subject>
  <dc:creator>The Profectional Company Limited</dc:creator>
  <cp:keywords>Profectional; Kornerstone; CPD; CPT; CLE; CE; RME; Stephen Thomson; Assistant Professor; The Chinese University of Hong Kong</cp:keywords>
  <cp:lastModifiedBy>Tyrone Tsang</cp:lastModifiedBy>
  <cp:revision>38</cp:revision>
  <cp:lastPrinted>2016-10-26T16:21:00Z</cp:lastPrinted>
  <dcterms:created xsi:type="dcterms:W3CDTF">2015-08-21T08:33:00Z</dcterms:created>
  <dcterms:modified xsi:type="dcterms:W3CDTF">2016-10-26T16:22:00Z</dcterms:modified>
</cp:coreProperties>
</file>