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BBB" w:rsidRPr="008F5BBB" w:rsidRDefault="008F5BBB" w:rsidP="008F5BBB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8F5BBB" w:rsidRPr="00523A64" w:rsidTr="00B14502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8F5BBB" w:rsidRPr="001A3018" w:rsidRDefault="008F5BBB" w:rsidP="00B14502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8F5BBB" w:rsidRPr="00AD645C" w:rsidRDefault="008F5BBB" w:rsidP="00B14502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8F5BBB" w:rsidRPr="00B8559C" w:rsidRDefault="008F5BBB" w:rsidP="00B14502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"http://cpd.hk/evt000000156/"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Insurance Law</w:t>
            </w:r>
          </w:p>
          <w:p w:rsidR="008F5BBB" w:rsidRPr="00C65AFD" w:rsidRDefault="008F5BBB" w:rsidP="00B1450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8F5BBB" w:rsidRPr="00C65AFD" w:rsidRDefault="008F5BBB" w:rsidP="00B14502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8F5BBB" w:rsidRPr="00C65AFD" w:rsidRDefault="008F5BBB" w:rsidP="00B14502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8F5BBB" w:rsidRDefault="008F5BBB" w:rsidP="00B1450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8F5BBB" w:rsidRDefault="008F5BBB" w:rsidP="00B1450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8F5BBB" w:rsidRDefault="008F5BBB" w:rsidP="00B1450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8F5BBB" w:rsidRDefault="008F5BBB" w:rsidP="00B1450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Accredited),</w:t>
            </w:r>
          </w:p>
          <w:p w:rsidR="008F5BBB" w:rsidRDefault="008F5BBB" w:rsidP="00B1450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8F5BBB" w:rsidRPr="003974E9" w:rsidRDefault="008F5BBB" w:rsidP="00B1450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8F5BBB" w:rsidRDefault="008F5BBB" w:rsidP="00B1450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</w:p>
          <w:p w:rsidR="008F5BBB" w:rsidRPr="00C65AFD" w:rsidRDefault="008F5BBB" w:rsidP="00B1450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8F5BBB" w:rsidRPr="00AD645C" w:rsidRDefault="008F5BBB" w:rsidP="00B14502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8F5BBB" w:rsidRPr="00D50772" w:rsidRDefault="008F5BBB" w:rsidP="00B14502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624E08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04D5B34" wp14:editId="52B09CA7">
                  <wp:simplePos x="0" y="0"/>
                  <wp:positionH relativeFrom="column">
                    <wp:posOffset>3176270</wp:posOffset>
                  </wp:positionH>
                  <wp:positionV relativeFrom="paragraph">
                    <wp:posOffset>-219710</wp:posOffset>
                  </wp:positionV>
                  <wp:extent cx="539750" cy="546735"/>
                  <wp:effectExtent l="0" t="0" r="0" b="5715"/>
                  <wp:wrapNone/>
                  <wp:docPr id="8" name="Picture 8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5C768670" wp14:editId="4A105360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BBB" w:rsidRPr="00A84E46" w:rsidRDefault="008F5BBB" w:rsidP="008F5BBB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8F5BBB" w:rsidRPr="006A082B" w:rsidTr="00B14502">
        <w:trPr>
          <w:trHeight w:val="3329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8F5BBB" w:rsidRPr="006A082B" w:rsidRDefault="008F5BBB" w:rsidP="00B14502">
            <w:pPr>
              <w:spacing w:line="276" w:lineRule="auto"/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6A082B">
              <w:rPr>
                <w:rFonts w:ascii="Arial" w:hAnsi="Arial" w:cs="Arial"/>
                <w:noProof/>
                <w:szCs w:val="21"/>
              </w:rPr>
              <w:drawing>
                <wp:inline distT="0" distB="0" distL="0" distR="0" wp14:anchorId="6F5B57CC" wp14:editId="1E4429B8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8F5BBB" w:rsidRPr="006A082B" w:rsidRDefault="008F5BBB" w:rsidP="008F5BBB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2"/>
              </w:rPr>
            </w:pPr>
            <w:r w:rsidRPr="006A082B">
              <w:rPr>
                <w:rFonts w:ascii="Arial" w:hAnsi="Arial" w:cs="Arial"/>
                <w:color w:val="6C6361"/>
                <w:sz w:val="22"/>
              </w:rPr>
              <w:t xml:space="preserve">Mr. </w:t>
            </w:r>
            <w:proofErr w:type="spellStart"/>
            <w:r w:rsidRPr="006A082B">
              <w:rPr>
                <w:rFonts w:ascii="Arial" w:hAnsi="Arial" w:cs="Arial"/>
                <w:color w:val="6C6361"/>
                <w:sz w:val="22"/>
              </w:rPr>
              <w:t>Meggitt</w:t>
            </w:r>
            <w:proofErr w:type="spellEnd"/>
            <w:r w:rsidRPr="006A082B">
              <w:rPr>
                <w:rFonts w:ascii="Arial" w:hAnsi="Arial" w:cs="Arial"/>
                <w:color w:val="6C6361"/>
                <w:sz w:val="22"/>
              </w:rPr>
              <w:t xml:space="preserve"> is an Associate Professor in the Faculty of Law </w:t>
            </w:r>
            <w:r w:rsidRPr="003974E9">
              <w:rPr>
                <w:rFonts w:ascii="Arial" w:hAnsi="Arial" w:cs="Arial"/>
                <w:color w:val="6C6361"/>
                <w:sz w:val="22"/>
              </w:rPr>
              <w:t xml:space="preserve">as well as the Director of the Asian Institute of International Financial Law (AIIFL) at </w:t>
            </w:r>
            <w:r w:rsidRPr="006A082B">
              <w:rPr>
                <w:rFonts w:ascii="Arial" w:hAnsi="Arial" w:cs="Arial"/>
                <w:color w:val="6C6361"/>
                <w:sz w:val="22"/>
              </w:rPr>
              <w:t>the University of Hong Kong.  He qualified as a solicitor in 1993 and practiced insurance litigation with several leading UK firms.  He was also subsequently Called to the Bar in England.</w:t>
            </w:r>
          </w:p>
          <w:p w:rsidR="008F5BBB" w:rsidRPr="006A082B" w:rsidRDefault="008F5BBB" w:rsidP="008F5BBB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8F5BBB" w:rsidRPr="006A082B" w:rsidRDefault="008F5BBB" w:rsidP="008F5BBB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2"/>
              </w:rPr>
            </w:pPr>
            <w:r w:rsidRPr="006A082B">
              <w:rPr>
                <w:rFonts w:ascii="Arial" w:hAnsi="Arial" w:cs="Arial"/>
                <w:color w:val="6C6361"/>
                <w:sz w:val="22"/>
              </w:rPr>
              <w:t xml:space="preserve">Mr. </w:t>
            </w:r>
            <w:proofErr w:type="spellStart"/>
            <w:r w:rsidRPr="006A082B">
              <w:rPr>
                <w:rFonts w:ascii="Arial" w:hAnsi="Arial" w:cs="Arial"/>
                <w:color w:val="6C6361"/>
                <w:sz w:val="22"/>
              </w:rPr>
              <w:t>Meggitt</w:t>
            </w:r>
            <w:proofErr w:type="spellEnd"/>
            <w:r w:rsidRPr="006A082B">
              <w:rPr>
                <w:rFonts w:ascii="Arial" w:hAnsi="Arial" w:cs="Arial"/>
                <w:color w:val="6C6361"/>
                <w:sz w:val="22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6A082B">
              <w:rPr>
                <w:rFonts w:ascii="Arial" w:hAnsi="Arial" w:cs="Arial"/>
                <w:color w:val="6C6361"/>
                <w:sz w:val="22"/>
              </w:rPr>
              <w:t>programmes</w:t>
            </w:r>
            <w:proofErr w:type="spellEnd"/>
            <w:r w:rsidRPr="006A082B">
              <w:rPr>
                <w:rFonts w:ascii="Arial" w:hAnsi="Arial" w:cs="Arial"/>
                <w:color w:val="6C6361"/>
                <w:sz w:val="22"/>
              </w:rPr>
              <w:t xml:space="preserve">.  He is a contributing author to 'A Guide to Civil Procedure in Hong Kong' (2015, LexisNexis) and edited 'Civil Justice Reform - What has it achieved?' (2010, Sweet &amp; Maxwell).  Mr. </w:t>
            </w:r>
            <w:proofErr w:type="spellStart"/>
            <w:r w:rsidRPr="006A082B">
              <w:rPr>
                <w:rFonts w:ascii="Arial" w:hAnsi="Arial" w:cs="Arial"/>
                <w:color w:val="6C6361"/>
                <w:sz w:val="22"/>
              </w:rPr>
              <w:t>Meggitt</w:t>
            </w:r>
            <w:proofErr w:type="spellEnd"/>
            <w:r w:rsidRPr="006A082B">
              <w:rPr>
                <w:rFonts w:ascii="Arial" w:hAnsi="Arial" w:cs="Arial"/>
                <w:color w:val="6C6361"/>
                <w:sz w:val="22"/>
              </w:rPr>
              <w:t xml:space="preserve"> is a member of the Hong Kong Law Society's Insurance Law Committee and its Working Party on Litigation Funding.  He is also a member of the Examining Panel under the Higher Rights of Audience Rules and a former director of the Hong Kong Insurance Law Association.</w:t>
            </w:r>
          </w:p>
        </w:tc>
      </w:tr>
    </w:tbl>
    <w:p w:rsidR="008F5BBB" w:rsidRDefault="008F5BBB" w:rsidP="008F5BBB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8F5BBB" w:rsidRPr="006A082B" w:rsidTr="00B14502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F5BBB" w:rsidRPr="006A082B" w:rsidRDefault="008F5BBB" w:rsidP="00B14502">
            <w:pPr>
              <w:pStyle w:val="NormalWeb"/>
              <w:rPr>
                <w:rFonts w:ascii="Arial" w:hAnsi="Arial" w:cs="Arial"/>
                <w:color w:val="6C6361"/>
                <w:sz w:val="22"/>
              </w:rPr>
            </w:pPr>
            <w:r w:rsidRPr="006A082B">
              <w:rPr>
                <w:rFonts w:ascii="Arial" w:hAnsi="Arial" w:cs="Arial"/>
                <w:color w:val="6C6361"/>
                <w:sz w:val="22"/>
              </w:rPr>
              <w:t>This course is intended to serve as a general introduction to the essential elements of insurance law.</w:t>
            </w:r>
          </w:p>
        </w:tc>
      </w:tr>
      <w:tr w:rsidR="008F5BBB" w:rsidRPr="006A082B" w:rsidTr="00B14502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8F5BBB" w:rsidRPr="006A082B" w:rsidRDefault="008F5BBB" w:rsidP="00B14502">
            <w:pPr>
              <w:rPr>
                <w:rFonts w:ascii="Arial" w:hAnsi="Arial" w:cs="Arial"/>
                <w:b/>
                <w:color w:val="524B48"/>
                <w:szCs w:val="24"/>
              </w:rPr>
            </w:pPr>
            <w:r w:rsidRPr="006A082B">
              <w:rPr>
                <w:rFonts w:ascii="Arial" w:hAnsi="Arial" w:cs="Arial"/>
                <w:b/>
                <w:color w:val="524B48"/>
                <w:szCs w:val="24"/>
              </w:rPr>
              <w:t>This course covers:</w:t>
            </w:r>
          </w:p>
        </w:tc>
      </w:tr>
      <w:tr w:rsidR="008F5BBB" w:rsidRPr="006A082B" w:rsidTr="00B14502">
        <w:trPr>
          <w:trHeight w:val="2193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F5BBB" w:rsidRPr="006A082B" w:rsidRDefault="008F5BBB" w:rsidP="00B1450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24E08">
              <w:rPr>
                <w:rFonts w:ascii="Arial" w:hAnsi="Arial" w:cs="Arial"/>
                <w:noProof/>
                <w:color w:val="6C6361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8012E05" wp14:editId="204F35CF">
                  <wp:simplePos x="0" y="0"/>
                  <wp:positionH relativeFrom="column">
                    <wp:posOffset>5784850</wp:posOffset>
                  </wp:positionH>
                  <wp:positionV relativeFrom="paragraph">
                    <wp:posOffset>217170</wp:posOffset>
                  </wp:positionV>
                  <wp:extent cx="892175" cy="1018540"/>
                  <wp:effectExtent l="0" t="0" r="317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082B">
              <w:rPr>
                <w:rFonts w:ascii="Arial" w:hAnsi="Arial" w:cs="Arial"/>
                <w:color w:val="6C6361"/>
                <w:szCs w:val="24"/>
              </w:rPr>
              <w:t>The operation and regulation of the insurance market in Hong Kong, including under the new Independent Insurance Authority</w:t>
            </w:r>
          </w:p>
          <w:p w:rsidR="008F5BBB" w:rsidRPr="006A082B" w:rsidRDefault="008F5BBB" w:rsidP="00B1450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>The doctrines of 'Insurable Interest' and 'Utmost Good Faith'</w:t>
            </w:r>
          </w:p>
          <w:p w:rsidR="008F5BBB" w:rsidRPr="006A082B" w:rsidRDefault="008F5BBB" w:rsidP="00B1450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>Specific terms of insurance contracts and how they differ from those in other contracts</w:t>
            </w:r>
          </w:p>
          <w:p w:rsidR="008F5BBB" w:rsidRPr="006A082B" w:rsidRDefault="008F5BBB" w:rsidP="00B1450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>How claims are made by policyholders and dealt with by insurers</w:t>
            </w:r>
          </w:p>
          <w:p w:rsidR="008F5BBB" w:rsidRPr="006A082B" w:rsidRDefault="008F5BBB" w:rsidP="00B1450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>The rights of insurers, including subrogation and contribution</w:t>
            </w:r>
          </w:p>
          <w:p w:rsidR="008F5BBB" w:rsidRPr="006A082B" w:rsidRDefault="008F5BBB" w:rsidP="00B1450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 xml:space="preserve">The role of insurance brokers and agents </w:t>
            </w:r>
          </w:p>
        </w:tc>
      </w:tr>
    </w:tbl>
    <w:p w:rsidR="00296FEB" w:rsidRDefault="00296FEB" w:rsidP="00296FEB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5"/>
        <w:gridCol w:w="1270"/>
      </w:tblGrid>
      <w:tr w:rsidR="008F5BBB" w:rsidRPr="00320F79" w:rsidTr="006B0054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EVT000000156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Standard</w:t>
            </w:r>
          </w:p>
        </w:tc>
      </w:tr>
      <w:tr w:rsidR="008F5BBB" w:rsidRPr="00320F79" w:rsidTr="006B0054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11 October 2016 (Tuesday)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8F5BBB" w:rsidRPr="00320F79" w:rsidTr="006B0054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7:45</w:t>
            </w:r>
          </w:p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14:0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8F5BBB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8F5BBB" w:rsidRPr="00EE67C3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</w:t>
            </w:r>
            <w:r w:rsidRPr="00EE67C3">
              <w:rPr>
                <w:rFonts w:ascii="Arial" w:hAnsi="Arial" w:cs="Arial"/>
                <w:color w:val="6C6361"/>
                <w:sz w:val="20"/>
                <w:szCs w:val="20"/>
              </w:rPr>
              <w:t xml:space="preserve">LSHK Allocated Number: </w:t>
            </w:r>
            <w:r w:rsidRPr="00753025">
              <w:rPr>
                <w:rFonts w:ascii="Arial" w:hAnsi="Arial" w:cs="Arial"/>
                <w:color w:val="6C6361"/>
                <w:sz w:val="20"/>
                <w:szCs w:val="20"/>
              </w:rPr>
              <w:t>20163093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)</w:t>
            </w:r>
          </w:p>
          <w:p w:rsidR="008F5BBB" w:rsidRPr="00B745DB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8F5BBB" w:rsidRPr="00320F79" w:rsidTr="006B0054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8F5BBB" w:rsidRPr="00320F79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8F5BBB" w:rsidRDefault="008F5BBB" w:rsidP="008F5BBB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8F5BBB" w:rsidRDefault="008F5BBB" w:rsidP="008F5BBB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8F5BBB" w:rsidRPr="00320F79" w:rsidRDefault="008F5BBB" w:rsidP="008F5BBB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4966C2CD" wp14:editId="064BFEE7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BBB" w:rsidRPr="00E2201B" w:rsidRDefault="008F5BBB" w:rsidP="008F5BBB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8F5BBB" w:rsidRPr="00AD1A4E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8F5BBB" w:rsidRPr="00AD1A4E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1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8F5BBB" w:rsidRPr="00AD1A4E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AD1A4E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8F5BBB" w:rsidRPr="00AD1A4E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F5BBB" w:rsidRPr="001C1D8B" w:rsidRDefault="008F5BBB" w:rsidP="008F5B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2C7EA1E3" wp14:editId="11153D43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296FEB" w:rsidRDefault="00214BC6" w:rsidP="00296FEB"/>
    <w:sectPr w:rsidR="00214BC6" w:rsidRPr="00296FEB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B5B" w:rsidRDefault="00CF5B5B" w:rsidP="00546556">
      <w:r>
        <w:separator/>
      </w:r>
    </w:p>
  </w:endnote>
  <w:endnote w:type="continuationSeparator" w:id="0">
    <w:p w:rsidR="00CF5B5B" w:rsidRDefault="00CF5B5B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B5B" w:rsidRDefault="00CF5B5B" w:rsidP="00546556">
      <w:r>
        <w:separator/>
      </w:r>
    </w:p>
  </w:footnote>
  <w:footnote w:type="continuationSeparator" w:id="0">
    <w:p w:rsidR="00CF5B5B" w:rsidRDefault="00CF5B5B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jEsPsvXrPx4zMyfE8ZN2xE4hcnKAUDKSn9YmvXbeXJ42oc4nlUdLGSqjPKgdW50sKwRV2+8Pu21OK9cITzWenQ==" w:salt="CYQVRvy00OqnF09lvP0NP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6FEB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5BBB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CF5B5B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51BD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156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D40BA-7FF5-48FC-8046-95857025F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Insurance Law</vt:lpstr>
    </vt:vector>
  </TitlesOfParts>
  <Manager>Tyrone Tsang</Manager>
  <Company>The Profectional Company Limited</Company>
  <LinksUpToDate>false</LinksUpToDate>
  <CharactersWithSpaces>2441</CharactersWithSpaces>
  <SharedDoc>false</SharedDoc>
  <HyperlinkBase>http://download.profectional.com/events/EVT000000156.docx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Insurance Law</dc:title>
  <dc:subject>CPD Course, CPT Course: Insurance Law</dc:subject>
  <dc:creator>The Profectional Company Limited</dc:creator>
  <cp:keywords>Profectional; Kornerstone; CPD; CPT; CLE; CE; RME; Gary Meggitt; MA (Oxon); ACII; MCIArb; Solicitor Advocate; England &amp; Wales; Barrister-at-Law; Lincoln's Inn; Accredited Mediator; CEDR; Associate Professor; Faculty of Law; The University of Hong Kong</cp:keywords>
  <cp:lastModifiedBy>Tyrone Tsang</cp:lastModifiedBy>
  <cp:revision>11</cp:revision>
  <cp:lastPrinted>2014-10-16T01:46:00Z</cp:lastPrinted>
  <dcterms:created xsi:type="dcterms:W3CDTF">2015-01-21T17:25:00Z</dcterms:created>
  <dcterms:modified xsi:type="dcterms:W3CDTF">2016-10-11T03:58:00Z</dcterms:modified>
</cp:coreProperties>
</file>