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8BF" w:rsidRPr="008D48BF" w:rsidRDefault="008D48BF" w:rsidP="008D48B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D48BF" w:rsidRPr="00523A64" w:rsidTr="00426CE3">
        <w:trPr>
          <w:trHeight w:val="3119"/>
          <w:jc w:val="center"/>
        </w:trPr>
        <w:tc>
          <w:tcPr>
            <w:tcW w:w="4820" w:type="dxa"/>
            <w:shd w:val="clear" w:color="auto" w:fill="FFFFFF"/>
            <w:vAlign w:val="center"/>
          </w:tcPr>
          <w:p w:rsidR="008D48BF" w:rsidRPr="001A3018" w:rsidRDefault="008D48BF" w:rsidP="00426CE3">
            <w:pPr>
              <w:jc w:val="center"/>
              <w:rPr>
                <w:rFonts w:ascii="Arial" w:hAnsi="Arial" w:cs="Arial"/>
                <w:b/>
                <w:bCs/>
                <w:color w:val="524B48"/>
                <w:sz w:val="4"/>
                <w:szCs w:val="4"/>
              </w:rPr>
            </w:pPr>
          </w:p>
          <w:p w:rsidR="008D48BF" w:rsidRPr="004C65CA" w:rsidRDefault="008D48BF" w:rsidP="00426CE3">
            <w:pPr>
              <w:jc w:val="center"/>
              <w:rPr>
                <w:rStyle w:val="Hyperlink"/>
                <w:rFonts w:ascii="Arial" w:hAnsi="Arial" w:cs="Arial"/>
                <w:b/>
                <w:bCs/>
                <w:color w:val="524B48"/>
                <w:sz w:val="32"/>
                <w:szCs w:val="32"/>
                <w:u w:val="none"/>
              </w:rPr>
            </w:pPr>
            <w:r w:rsidRPr="00CF685C">
              <w:fldChar w:fldCharType="begin"/>
            </w:r>
            <w:r>
              <w:instrText>HYPERLINK "http://cpd.hk/evt000000160/"</w:instrText>
            </w:r>
            <w:r w:rsidRPr="00CF685C">
              <w:fldChar w:fldCharType="separate"/>
            </w:r>
            <w:r w:rsidRPr="004C65CA">
              <w:rPr>
                <w:rStyle w:val="Hyperlink"/>
                <w:rFonts w:ascii="Arial" w:hAnsi="Arial" w:cs="Arial"/>
                <w:b/>
                <w:bCs/>
                <w:color w:val="524B48"/>
                <w:sz w:val="32"/>
                <w:szCs w:val="32"/>
                <w:u w:val="none"/>
              </w:rPr>
              <w:t>The New Companies</w:t>
            </w:r>
          </w:p>
          <w:p w:rsidR="008D48BF" w:rsidRDefault="008D48BF" w:rsidP="00426CE3">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Ordinance (Cap.622)</w:t>
            </w:r>
          </w:p>
          <w:p w:rsidR="008D48BF" w:rsidRDefault="008D48BF" w:rsidP="00426CE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Specified Forms:</w:t>
            </w:r>
          </w:p>
          <w:p w:rsidR="008D48BF" w:rsidRPr="004C65CA" w:rsidRDefault="008D48BF" w:rsidP="00426CE3">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Questions From</w:t>
            </w:r>
          </w:p>
          <w:p w:rsidR="008D48BF" w:rsidRPr="00CF685C" w:rsidRDefault="008D48BF" w:rsidP="00426CE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Com</w:t>
            </w:r>
            <w:r w:rsidRPr="004C65CA">
              <w:rPr>
                <w:rStyle w:val="Hyperlink"/>
                <w:rFonts w:ascii="Arial" w:hAnsi="Arial" w:cs="Arial"/>
                <w:b/>
                <w:bCs/>
                <w:color w:val="524B48"/>
                <w:sz w:val="32"/>
                <w:szCs w:val="32"/>
                <w:u w:val="none"/>
              </w:rPr>
              <w:t>p</w:t>
            </w:r>
            <w:r>
              <w:rPr>
                <w:rStyle w:val="Hyperlink"/>
                <w:rFonts w:ascii="Arial" w:hAnsi="Arial" w:cs="Arial"/>
                <w:b/>
                <w:bCs/>
                <w:color w:val="524B48"/>
                <w:sz w:val="32"/>
                <w:szCs w:val="32"/>
                <w:u w:val="none"/>
              </w:rPr>
              <w:t>a</w:t>
            </w:r>
            <w:r w:rsidRPr="004C65CA">
              <w:rPr>
                <w:rStyle w:val="Hyperlink"/>
                <w:rFonts w:ascii="Arial" w:hAnsi="Arial" w:cs="Arial"/>
                <w:b/>
                <w:bCs/>
                <w:color w:val="524B48"/>
                <w:sz w:val="32"/>
                <w:szCs w:val="32"/>
                <w:u w:val="none"/>
              </w:rPr>
              <w:t>ny Secretary</w:t>
            </w:r>
            <w:r>
              <w:rPr>
                <w:rStyle w:val="Hyperlink"/>
                <w:rFonts w:ascii="Arial" w:hAnsi="Arial" w:cs="Arial"/>
                <w:b/>
                <w:bCs/>
                <w:color w:val="524B48"/>
                <w:sz w:val="32"/>
                <w:szCs w:val="32"/>
              </w:rPr>
              <w:t xml:space="preserve"> </w:t>
            </w:r>
          </w:p>
          <w:p w:rsidR="008D48BF" w:rsidRPr="00C65AFD" w:rsidRDefault="008D48BF" w:rsidP="00426CE3">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8D48BF" w:rsidRPr="00C65AFD" w:rsidRDefault="008D48BF" w:rsidP="00426CE3">
            <w:pPr>
              <w:jc w:val="center"/>
              <w:rPr>
                <w:rFonts w:ascii="Arial" w:hAnsi="Arial" w:cs="Arial"/>
                <w:i/>
                <w:color w:val="6C6361"/>
                <w:sz w:val="24"/>
                <w:szCs w:val="24"/>
              </w:rPr>
            </w:pPr>
            <w:r w:rsidRPr="00C65AFD">
              <w:rPr>
                <w:rFonts w:ascii="Arial" w:hAnsi="Arial" w:cs="Arial"/>
                <w:i/>
                <w:color w:val="6C6361"/>
                <w:sz w:val="24"/>
                <w:szCs w:val="24"/>
              </w:rPr>
              <w:t>by</w:t>
            </w:r>
          </w:p>
          <w:p w:rsidR="008D48BF" w:rsidRDefault="008D48BF" w:rsidP="00426CE3">
            <w:pPr>
              <w:jc w:val="center"/>
              <w:rPr>
                <w:rFonts w:ascii="Arial" w:hAnsi="Arial" w:cs="Arial"/>
                <w:color w:val="6C6361"/>
                <w:sz w:val="24"/>
                <w:szCs w:val="24"/>
              </w:rPr>
            </w:pPr>
            <w:hyperlink r:id="rId8" w:history="1">
              <w:proofErr w:type="spellStart"/>
              <w:r w:rsidRPr="001516F2">
                <w:rPr>
                  <w:rStyle w:val="Hyperlink"/>
                  <w:rFonts w:ascii="Arial" w:hAnsi="Arial" w:cs="Arial"/>
                  <w:color w:val="6C6361"/>
                  <w:sz w:val="24"/>
                  <w:szCs w:val="24"/>
                  <w:u w:val="none"/>
                </w:rPr>
                <w:t>M</w:t>
              </w:r>
              <w:r>
                <w:rPr>
                  <w:rStyle w:val="Hyperlink"/>
                  <w:rFonts w:ascii="Arial" w:hAnsi="Arial" w:cs="Arial"/>
                  <w:color w:val="6C6361"/>
                  <w:sz w:val="24"/>
                  <w:szCs w:val="24"/>
                  <w:u w:val="none"/>
                </w:rPr>
                <w:t>s</w:t>
              </w:r>
              <w:proofErr w:type="spellEnd"/>
              <w:r>
                <w:rPr>
                  <w:rStyle w:val="Hyperlink"/>
                  <w:rFonts w:ascii="Arial" w:hAnsi="Arial" w:cs="Arial"/>
                  <w:color w:val="6C6361"/>
                  <w:sz w:val="24"/>
                  <w:szCs w:val="24"/>
                  <w:u w:val="none"/>
                </w:rPr>
                <w:t xml:space="preserve"> Belinda Wong</w:t>
              </w:r>
            </w:hyperlink>
            <w:r>
              <w:rPr>
                <w:rFonts w:ascii="Arial" w:hAnsi="Arial" w:cs="Arial"/>
                <w:color w:val="6C6361"/>
                <w:sz w:val="24"/>
                <w:szCs w:val="24"/>
              </w:rPr>
              <w:t>,</w:t>
            </w:r>
          </w:p>
          <w:p w:rsidR="008D48BF" w:rsidRPr="004C65CA" w:rsidRDefault="008D48BF" w:rsidP="00426CE3">
            <w:pPr>
              <w:jc w:val="center"/>
              <w:rPr>
                <w:rFonts w:ascii="Arial" w:hAnsi="Arial" w:cs="Arial"/>
                <w:color w:val="6C6361"/>
                <w:sz w:val="24"/>
                <w:szCs w:val="24"/>
              </w:rPr>
            </w:pPr>
            <w:r w:rsidRPr="004C65CA">
              <w:rPr>
                <w:rFonts w:ascii="Arial" w:hAnsi="Arial" w:cs="Arial"/>
                <w:color w:val="6C6361"/>
                <w:sz w:val="24"/>
                <w:szCs w:val="24"/>
              </w:rPr>
              <w:t>Author, Hong Kong Company</w:t>
            </w:r>
          </w:p>
          <w:p w:rsidR="008D48BF" w:rsidRPr="004C65CA" w:rsidRDefault="008D48BF" w:rsidP="00426CE3">
            <w:pPr>
              <w:jc w:val="center"/>
              <w:rPr>
                <w:rFonts w:ascii="Arial" w:hAnsi="Arial" w:cs="Arial"/>
                <w:color w:val="6C6361"/>
                <w:sz w:val="24"/>
                <w:szCs w:val="24"/>
              </w:rPr>
            </w:pPr>
            <w:r w:rsidRPr="004C65CA">
              <w:rPr>
                <w:rFonts w:ascii="Arial" w:hAnsi="Arial" w:cs="Arial"/>
                <w:color w:val="6C6361"/>
                <w:sz w:val="24"/>
                <w:szCs w:val="24"/>
              </w:rPr>
              <w:t>Secretary’s Practice Manual,</w:t>
            </w:r>
          </w:p>
          <w:p w:rsidR="008D48BF" w:rsidRPr="004C65CA" w:rsidRDefault="008D48BF" w:rsidP="00426CE3">
            <w:pPr>
              <w:jc w:val="center"/>
              <w:rPr>
                <w:rFonts w:ascii="Arial" w:hAnsi="Arial" w:cs="Arial"/>
                <w:color w:val="6C6361"/>
                <w:sz w:val="24"/>
                <w:szCs w:val="24"/>
              </w:rPr>
            </w:pPr>
            <w:r w:rsidRPr="004C65CA">
              <w:rPr>
                <w:rFonts w:ascii="Arial" w:hAnsi="Arial" w:cs="Arial"/>
                <w:color w:val="6C6361"/>
                <w:sz w:val="24"/>
                <w:szCs w:val="24"/>
              </w:rPr>
              <w:t>Director,</w:t>
            </w:r>
          </w:p>
          <w:p w:rsidR="008D48BF" w:rsidRDefault="008D48BF" w:rsidP="00426CE3">
            <w:pPr>
              <w:jc w:val="center"/>
              <w:rPr>
                <w:rFonts w:ascii="Arial" w:hAnsi="Arial" w:cs="Arial"/>
                <w:color w:val="6C6361"/>
                <w:sz w:val="24"/>
                <w:szCs w:val="24"/>
              </w:rPr>
            </w:pPr>
            <w:r w:rsidRPr="004C65CA">
              <w:rPr>
                <w:rFonts w:ascii="Arial" w:hAnsi="Arial" w:cs="Arial"/>
                <w:color w:val="6C6361"/>
                <w:sz w:val="24"/>
                <w:szCs w:val="24"/>
              </w:rPr>
              <w:t>Leader Corporate Services Limited</w:t>
            </w:r>
          </w:p>
          <w:p w:rsidR="008D48BF" w:rsidRPr="00D87ECF" w:rsidRDefault="008D48BF" w:rsidP="00426CE3">
            <w:pPr>
              <w:jc w:val="center"/>
              <w:rPr>
                <w:rFonts w:ascii="Arial" w:hAnsi="Arial" w:cs="Arial"/>
                <w:color w:val="6C6361"/>
                <w:sz w:val="8"/>
                <w:szCs w:val="8"/>
              </w:rPr>
            </w:pPr>
          </w:p>
        </w:tc>
        <w:tc>
          <w:tcPr>
            <w:tcW w:w="5954" w:type="dxa"/>
            <w:shd w:val="clear" w:color="auto" w:fill="FFFFFF"/>
            <w:vAlign w:val="center"/>
          </w:tcPr>
          <w:p w:rsidR="008D48BF" w:rsidRPr="00D50772" w:rsidRDefault="008D48BF" w:rsidP="00426CE3">
            <w:pPr>
              <w:spacing w:line="276" w:lineRule="auto"/>
              <w:jc w:val="center"/>
              <w:rPr>
                <w:rFonts w:ascii="Arial" w:eastAsia="Times New Roman" w:hAnsi="Arial" w:cs="Arial"/>
                <w:noProof/>
                <w:sz w:val="20"/>
                <w:szCs w:val="20"/>
              </w:rPr>
            </w:pPr>
            <w:r w:rsidRPr="00637E10">
              <w:rPr>
                <w:rStyle w:val="Hyperlink"/>
                <w:rFonts w:ascii="Arial" w:hAnsi="Arial" w:cs="Arial"/>
                <w:b/>
                <w:bCs/>
                <w:noProof/>
                <w:color w:val="524B48"/>
                <w:sz w:val="32"/>
                <w:szCs w:val="32"/>
                <w:u w:val="none"/>
              </w:rPr>
              <w:drawing>
                <wp:anchor distT="0" distB="0" distL="114300" distR="114300" simplePos="0" relativeHeight="251660288" behindDoc="0" locked="0" layoutInCell="1" allowOverlap="1" wp14:anchorId="5FA556D2" wp14:editId="6500AA0E">
                  <wp:simplePos x="0" y="0"/>
                  <wp:positionH relativeFrom="column">
                    <wp:posOffset>3175635</wp:posOffset>
                  </wp:positionH>
                  <wp:positionV relativeFrom="paragraph">
                    <wp:posOffset>-306070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588BDEA" wp14:editId="49EAAA40">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D48BF" w:rsidRDefault="008D48BF" w:rsidP="008D48BF">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8D48BF" w:rsidRPr="00B745DB" w:rsidTr="00426CE3">
        <w:trPr>
          <w:trHeight w:val="5284"/>
          <w:jc w:val="center"/>
        </w:trPr>
        <w:tc>
          <w:tcPr>
            <w:tcW w:w="1985" w:type="dxa"/>
            <w:shd w:val="clear" w:color="auto" w:fill="FFFFFF"/>
            <w:vAlign w:val="center"/>
          </w:tcPr>
          <w:p w:rsidR="008D48BF" w:rsidRPr="00B745DB" w:rsidRDefault="008D48BF" w:rsidP="00426CE3">
            <w:pPr>
              <w:spacing w:line="276" w:lineRule="auto"/>
              <w:contextualSpacing/>
              <w:jc w:val="center"/>
              <w:rPr>
                <w:rFonts w:ascii="Arial" w:hAnsi="Arial" w:cs="Arial"/>
                <w:sz w:val="24"/>
                <w:szCs w:val="24"/>
              </w:rPr>
            </w:pPr>
            <w:r w:rsidRPr="00B745DB">
              <w:rPr>
                <w:rFonts w:ascii="Arial" w:hAnsi="Arial" w:cs="Arial"/>
                <w:noProof/>
                <w:sz w:val="24"/>
                <w:szCs w:val="24"/>
              </w:rPr>
              <w:drawing>
                <wp:inline distT="0" distB="0" distL="0" distR="0" wp14:anchorId="4A9236D6" wp14:editId="664E848F">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8D48BF" w:rsidRPr="00480A75" w:rsidRDefault="008D48BF" w:rsidP="008D48BF">
            <w:pPr>
              <w:pStyle w:val="NormalWeb"/>
              <w:contextualSpacing/>
              <w:jc w:val="both"/>
              <w:rPr>
                <w:rFonts w:ascii="Arial" w:hAnsi="Arial" w:cs="Arial"/>
                <w:color w:val="6C6361"/>
              </w:rPr>
            </w:pPr>
            <w:r w:rsidRPr="00480A75">
              <w:rPr>
                <w:rFonts w:ascii="Arial" w:hAnsi="Arial" w:cs="Arial"/>
                <w:color w:val="6C6361"/>
              </w:rPr>
              <w:t xml:space="preserve">Belinda Wong is the author of Hong Kong Company Secretary’s Practice Manual published by CCH Hong Kong, a </w:t>
            </w:r>
            <w:proofErr w:type="spellStart"/>
            <w:r w:rsidRPr="00480A75">
              <w:rPr>
                <w:rFonts w:ascii="Arial" w:hAnsi="Arial" w:cs="Arial"/>
                <w:color w:val="6C6361"/>
              </w:rPr>
              <w:t>Wolters</w:t>
            </w:r>
            <w:proofErr w:type="spellEnd"/>
            <w:r w:rsidRPr="00480A75">
              <w:rPr>
                <w:rFonts w:ascii="Arial" w:hAnsi="Arial" w:cs="Arial"/>
                <w:color w:val="6C6361"/>
              </w:rPr>
              <w:t xml:space="preserve"> Kluwer business and has written a number of articles which had been published in overseas newspapers and portals.</w:t>
            </w:r>
          </w:p>
          <w:p w:rsidR="008D48BF" w:rsidRPr="00480A75" w:rsidRDefault="008D48BF" w:rsidP="008D48BF">
            <w:pPr>
              <w:pStyle w:val="NormalWeb"/>
              <w:contextualSpacing/>
              <w:jc w:val="both"/>
              <w:rPr>
                <w:rFonts w:ascii="Arial" w:hAnsi="Arial" w:cs="Arial"/>
                <w:color w:val="6C6361"/>
              </w:rPr>
            </w:pPr>
          </w:p>
          <w:p w:rsidR="008D48BF" w:rsidRPr="00480A75" w:rsidRDefault="008D48BF" w:rsidP="008D48BF">
            <w:pPr>
              <w:pStyle w:val="NormalWeb"/>
              <w:contextualSpacing/>
              <w:jc w:val="both"/>
              <w:rPr>
                <w:rFonts w:ascii="Arial" w:hAnsi="Arial" w:cs="Arial"/>
                <w:color w:val="6C6361"/>
              </w:rPr>
            </w:pPr>
            <w:r w:rsidRPr="00480A75">
              <w:rPr>
                <w:rFonts w:ascii="Arial" w:hAnsi="Arial" w:cs="Arial"/>
                <w:color w:val="6C6361"/>
              </w:rPr>
              <w:t>Currently Director of Leader Corporate Services Limited, having previously worked at big audit and larger international law firms namely, Ernst &amp; Young, PricewaterhouseCoopers, DLA Piper Hong Kong, and King and Wood, Hong Kong for more than 25 years.  Having extensive experience in serving local, multi-national, non-profit and listed companies, Belinda Wong is an expert in dealing with all types of company secretarial work including corporate restructuring, merger and acquisitions, business transfer, etc.  She also provides pro bon services to charities.</w:t>
            </w:r>
          </w:p>
          <w:p w:rsidR="008D48BF" w:rsidRPr="00480A75" w:rsidRDefault="008D48BF" w:rsidP="008D48BF">
            <w:pPr>
              <w:pStyle w:val="NormalWeb"/>
              <w:contextualSpacing/>
              <w:jc w:val="both"/>
              <w:rPr>
                <w:rFonts w:ascii="Arial" w:hAnsi="Arial" w:cs="Arial"/>
                <w:color w:val="6C6361"/>
              </w:rPr>
            </w:pPr>
          </w:p>
          <w:p w:rsidR="008D48BF" w:rsidRPr="00C46BEE" w:rsidRDefault="008D48BF" w:rsidP="008D48BF">
            <w:pPr>
              <w:pStyle w:val="NormalWeb"/>
              <w:contextualSpacing/>
              <w:jc w:val="both"/>
              <w:rPr>
                <w:rFonts w:ascii="Arial" w:hAnsi="Arial" w:cs="Arial"/>
                <w:color w:val="6C6361"/>
              </w:rPr>
            </w:pPr>
            <w:r w:rsidRPr="00480A75">
              <w:rPr>
                <w:rFonts w:ascii="Arial" w:hAnsi="Arial" w:cs="Arial"/>
                <w:color w:val="6C6361"/>
              </w:rPr>
              <w:t xml:space="preserve">Fellow Member of the Hong Kong Institute of Directors, Associate Member of the Hong Kong Institute of Chartered Secretaries as well as the Hong Kong Securities and Investment Institute.  Holder of a Master Degree in Business Administration (University of </w:t>
            </w:r>
            <w:proofErr w:type="spellStart"/>
            <w:r w:rsidRPr="00480A75">
              <w:rPr>
                <w:rFonts w:ascii="Arial" w:hAnsi="Arial" w:cs="Arial"/>
                <w:color w:val="6C6361"/>
              </w:rPr>
              <w:t>Strathclyde</w:t>
            </w:r>
            <w:proofErr w:type="spellEnd"/>
            <w:r w:rsidRPr="00480A75">
              <w:rPr>
                <w:rFonts w:ascii="Arial" w:hAnsi="Arial" w:cs="Arial"/>
                <w:color w:val="6C6361"/>
              </w:rPr>
              <w:t>, UK) and a Bachelor Degree in Social Sciences (Chinese University of Hong Kong).</w:t>
            </w:r>
          </w:p>
        </w:tc>
      </w:tr>
    </w:tbl>
    <w:p w:rsidR="008D48BF" w:rsidRDefault="008D48BF" w:rsidP="008D48BF">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8D48BF" w:rsidRPr="00390282" w:rsidTr="00426CE3">
        <w:trPr>
          <w:trHeight w:val="1152"/>
          <w:jc w:val="center"/>
        </w:trPr>
        <w:tc>
          <w:tcPr>
            <w:tcW w:w="10773" w:type="dxa"/>
            <w:tcBorders>
              <w:top w:val="nil"/>
              <w:bottom w:val="nil"/>
            </w:tcBorders>
            <w:shd w:val="clear" w:color="auto" w:fill="FFFFFF" w:themeFill="background1"/>
            <w:vAlign w:val="center"/>
          </w:tcPr>
          <w:p w:rsidR="008D48BF" w:rsidRPr="00480A75" w:rsidRDefault="008D48BF" w:rsidP="00426CE3">
            <w:pPr>
              <w:rPr>
                <w:rFonts w:ascii="Arial" w:hAnsi="Arial" w:cs="Arial"/>
                <w:color w:val="6C6361"/>
                <w:sz w:val="24"/>
                <w:szCs w:val="24"/>
              </w:rPr>
            </w:pPr>
            <w:r w:rsidRPr="00480A75">
              <w:rPr>
                <w:rFonts w:ascii="Arial" w:hAnsi="Arial" w:cs="Arial"/>
                <w:color w:val="6C6361"/>
                <w:sz w:val="24"/>
                <w:szCs w:val="24"/>
              </w:rPr>
              <w:t>Belinda Wong will discuss the questions on some of the sections of the Companies Ordinance</w:t>
            </w:r>
            <w:r>
              <w:rPr>
                <w:rFonts w:ascii="Arial" w:hAnsi="Arial" w:cs="Arial"/>
                <w:color w:val="6C6361"/>
                <w:sz w:val="24"/>
                <w:szCs w:val="24"/>
              </w:rPr>
              <w:t xml:space="preserve"> and some specified forms</w:t>
            </w:r>
            <w:r w:rsidRPr="00480A75">
              <w:rPr>
                <w:rFonts w:ascii="Arial" w:hAnsi="Arial" w:cs="Arial"/>
                <w:color w:val="6C6361"/>
                <w:sz w:val="24"/>
                <w:szCs w:val="24"/>
              </w:rPr>
              <w:t xml:space="preserve"> with a view to raising awareness of the issues involved and will also propose ways to handle some of the issues.</w:t>
            </w:r>
          </w:p>
        </w:tc>
      </w:tr>
      <w:tr w:rsidR="008D48BF" w:rsidRPr="00390282" w:rsidTr="00426CE3">
        <w:trPr>
          <w:trHeight w:val="454"/>
          <w:jc w:val="center"/>
        </w:trPr>
        <w:tc>
          <w:tcPr>
            <w:tcW w:w="10773" w:type="dxa"/>
            <w:tcBorders>
              <w:top w:val="nil"/>
              <w:bottom w:val="nil"/>
            </w:tcBorders>
            <w:shd w:val="clear" w:color="auto" w:fill="F0EBE1"/>
            <w:vAlign w:val="center"/>
          </w:tcPr>
          <w:p w:rsidR="008D48BF" w:rsidRPr="00390282" w:rsidRDefault="008D48BF" w:rsidP="00426CE3">
            <w:pPr>
              <w:rPr>
                <w:rFonts w:ascii="Arial" w:hAnsi="Arial" w:cs="Arial"/>
                <w:b/>
                <w:color w:val="524B48"/>
                <w:sz w:val="24"/>
                <w:szCs w:val="24"/>
              </w:rPr>
            </w:pPr>
            <w:r w:rsidRPr="00480A75">
              <w:rPr>
                <w:rFonts w:ascii="Arial" w:hAnsi="Arial" w:cs="Arial"/>
                <w:b/>
                <w:color w:val="524B48"/>
                <w:sz w:val="24"/>
                <w:szCs w:val="24"/>
              </w:rPr>
              <w:t>These questions will be explored in the course:</w:t>
            </w:r>
          </w:p>
        </w:tc>
      </w:tr>
      <w:tr w:rsidR="008D48BF" w:rsidRPr="00390282" w:rsidTr="00426CE3">
        <w:trPr>
          <w:trHeight w:val="2523"/>
          <w:jc w:val="center"/>
        </w:trPr>
        <w:tc>
          <w:tcPr>
            <w:tcW w:w="10773" w:type="dxa"/>
            <w:tcBorders>
              <w:top w:val="nil"/>
              <w:bottom w:val="nil"/>
            </w:tcBorders>
            <w:shd w:val="clear" w:color="auto" w:fill="FFFFFF"/>
            <w:vAlign w:val="center"/>
          </w:tcPr>
          <w:p w:rsidR="008D48BF" w:rsidRPr="00480A75" w:rsidRDefault="008D48BF" w:rsidP="00426CE3">
            <w:pPr>
              <w:pStyle w:val="ListParagraph"/>
              <w:numPr>
                <w:ilvl w:val="0"/>
                <w:numId w:val="2"/>
              </w:numPr>
              <w:rPr>
                <w:rFonts w:ascii="Arial" w:hAnsi="Arial" w:cs="Arial"/>
                <w:b/>
                <w:color w:val="6C6361"/>
                <w:sz w:val="24"/>
                <w:szCs w:val="24"/>
              </w:rPr>
            </w:pPr>
            <w:r>
              <w:rPr>
                <w:rFonts w:ascii="Arial" w:hAnsi="Arial" w:cs="Arial"/>
                <w:b/>
                <w:color w:val="6C6361"/>
                <w:sz w:val="24"/>
                <w:szCs w:val="24"/>
              </w:rPr>
              <w:t>What legal regime we are in</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In respect of passing a members’ resolution for reporting exemption, why a special notice is required to be is</w:t>
            </w:r>
            <w:r>
              <w:rPr>
                <w:rFonts w:ascii="Arial" w:hAnsi="Arial" w:cs="Arial"/>
                <w:color w:val="6C6361"/>
                <w:sz w:val="24"/>
                <w:szCs w:val="24"/>
              </w:rPr>
              <w:t>sued by a member to the company</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Division 2 Part 4 permits the issue of partly paid shares, why model articles for private companies limited by shares (Cap.622H) only allow</w:t>
            </w:r>
            <w:r>
              <w:rPr>
                <w:rFonts w:ascii="Arial" w:hAnsi="Arial" w:cs="Arial"/>
                <w:color w:val="6C6361"/>
                <w:sz w:val="24"/>
                <w:szCs w:val="24"/>
              </w:rPr>
              <w:t xml:space="preserve"> the issue of fully paid shares</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Why is the new concept </w:t>
            </w:r>
            <w:r>
              <w:rPr>
                <w:rFonts w:ascii="Arial" w:hAnsi="Arial" w:cs="Arial"/>
                <w:color w:val="6C6361"/>
                <w:sz w:val="24"/>
                <w:szCs w:val="24"/>
              </w:rPr>
              <w:t>of ‘potential member’ necessary</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What may happen when an alternate director appointed by a director is remo</w:t>
            </w:r>
            <w:r>
              <w:rPr>
                <w:rFonts w:ascii="Arial" w:hAnsi="Arial" w:cs="Arial"/>
                <w:color w:val="6C6361"/>
                <w:sz w:val="24"/>
                <w:szCs w:val="24"/>
              </w:rPr>
              <w:t>ved by his/her fellow directors</w:t>
            </w:r>
          </w:p>
        </w:tc>
      </w:tr>
    </w:tbl>
    <w:p w:rsidR="008D48BF" w:rsidRDefault="008D48BF" w:rsidP="008D48BF">
      <w:pPr>
        <w:spacing w:line="276" w:lineRule="auto"/>
        <w:rPr>
          <w:rFonts w:ascii="Arial" w:hAnsi="Arial" w:cs="Arial"/>
          <w:sz w:val="20"/>
          <w:szCs w:val="20"/>
        </w:rPr>
      </w:pPr>
    </w:p>
    <w:p w:rsidR="008D48BF" w:rsidRPr="008D48BF" w:rsidRDefault="008D48BF" w:rsidP="008D48BF">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8D48BF" w:rsidRPr="00390282" w:rsidTr="00426CE3">
        <w:trPr>
          <w:trHeight w:val="5387"/>
          <w:jc w:val="center"/>
        </w:trPr>
        <w:tc>
          <w:tcPr>
            <w:tcW w:w="10773" w:type="dxa"/>
            <w:tcBorders>
              <w:top w:val="nil"/>
              <w:bottom w:val="nil"/>
            </w:tcBorders>
            <w:shd w:val="clear" w:color="auto" w:fill="FFFFFF"/>
            <w:vAlign w:val="center"/>
          </w:tcPr>
          <w:p w:rsidR="008D48BF" w:rsidRPr="00480A75" w:rsidRDefault="008D48BF" w:rsidP="00426CE3">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What types of companies are we getting</w:t>
            </w:r>
          </w:p>
          <w:p w:rsidR="008D48BF" w:rsidRDefault="008D48BF" w:rsidP="00426CE3">
            <w:pPr>
              <w:pStyle w:val="ListParagraph"/>
              <w:numPr>
                <w:ilvl w:val="1"/>
                <w:numId w:val="2"/>
              </w:numPr>
              <w:rPr>
                <w:rFonts w:ascii="Arial" w:hAnsi="Arial" w:cs="Arial"/>
                <w:color w:val="6C6361"/>
                <w:sz w:val="24"/>
                <w:szCs w:val="24"/>
              </w:rPr>
            </w:pPr>
            <w:r>
              <w:rPr>
                <w:rFonts w:ascii="Arial" w:hAnsi="Arial" w:cs="Arial"/>
                <w:color w:val="6C6361"/>
                <w:sz w:val="24"/>
                <w:szCs w:val="24"/>
              </w:rPr>
              <w:t>What are the differences between limited company and unlimited company</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How is </w:t>
            </w:r>
            <w:r>
              <w:rPr>
                <w:rFonts w:ascii="Arial" w:hAnsi="Arial" w:cs="Arial"/>
                <w:color w:val="6C6361"/>
                <w:sz w:val="24"/>
                <w:szCs w:val="24"/>
              </w:rPr>
              <w:t>s</w:t>
            </w:r>
            <w:r w:rsidRPr="00480A75">
              <w:rPr>
                <w:rFonts w:ascii="Arial" w:hAnsi="Arial" w:cs="Arial"/>
                <w:color w:val="6C6361"/>
                <w:sz w:val="24"/>
                <w:szCs w:val="24"/>
              </w:rPr>
              <w:t>.359(3) feasible in view of the definition of a</w:t>
            </w:r>
            <w:r>
              <w:rPr>
                <w:rFonts w:ascii="Arial" w:hAnsi="Arial" w:cs="Arial"/>
                <w:color w:val="6C6361"/>
                <w:sz w:val="24"/>
                <w:szCs w:val="24"/>
              </w:rPr>
              <w:t xml:space="preserve"> ‘company limited by guarantee’</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Should companies limited by guarantee be used for ‘for-profit business’ purpose as change of membership do</w:t>
            </w:r>
            <w:r>
              <w:rPr>
                <w:rFonts w:ascii="Arial" w:hAnsi="Arial" w:cs="Arial"/>
                <w:color w:val="6C6361"/>
                <w:sz w:val="24"/>
                <w:szCs w:val="24"/>
              </w:rPr>
              <w:t>es not incur stamp duty payment</w:t>
            </w:r>
          </w:p>
          <w:p w:rsidR="008D48BF" w:rsidRPr="00480A75" w:rsidRDefault="008D48BF" w:rsidP="00426CE3">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Meeting and voting</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Why members have to be notified of the passing of a resolution when it is </w:t>
            </w:r>
            <w:r>
              <w:rPr>
                <w:rFonts w:ascii="Arial" w:hAnsi="Arial" w:cs="Arial"/>
                <w:color w:val="6C6361"/>
                <w:sz w:val="24"/>
                <w:szCs w:val="24"/>
              </w:rPr>
              <w:t>not yet effective under the law</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Why it seems there are more than one vote counting sys</w:t>
            </w:r>
            <w:r>
              <w:rPr>
                <w:rFonts w:ascii="Arial" w:hAnsi="Arial" w:cs="Arial"/>
                <w:color w:val="6C6361"/>
                <w:sz w:val="24"/>
                <w:szCs w:val="24"/>
              </w:rPr>
              <w:t>tems in the Companies Ordinance</w:t>
            </w:r>
          </w:p>
          <w:p w:rsidR="008D48BF" w:rsidRPr="00480A75" w:rsidRDefault="008D48BF" w:rsidP="00426CE3">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Is a signature to a written resolution of members being equivalent to voting ‘b</w:t>
            </w:r>
            <w:r>
              <w:rPr>
                <w:rFonts w:ascii="Arial" w:hAnsi="Arial" w:cs="Arial"/>
                <w:color w:val="6C6361"/>
                <w:sz w:val="24"/>
                <w:szCs w:val="24"/>
              </w:rPr>
              <w:t>y a show of hands’ or by ‘poll’</w:t>
            </w:r>
          </w:p>
          <w:p w:rsidR="008D48BF" w:rsidRPr="00480A75" w:rsidRDefault="008D48BF" w:rsidP="00426CE3">
            <w:pPr>
              <w:pStyle w:val="ListParagraph"/>
              <w:numPr>
                <w:ilvl w:val="0"/>
                <w:numId w:val="2"/>
              </w:numPr>
              <w:rPr>
                <w:rFonts w:ascii="Arial" w:hAnsi="Arial" w:cs="Arial"/>
                <w:b/>
                <w:color w:val="6C6361"/>
                <w:sz w:val="24"/>
                <w:szCs w:val="24"/>
              </w:rPr>
            </w:pPr>
            <w:r w:rsidRPr="00637E10">
              <w:rPr>
                <w:rFonts w:ascii="Arial" w:hAnsi="Arial" w:cs="Arial"/>
                <w:noProof/>
                <w:color w:val="6C6361"/>
                <w:sz w:val="24"/>
                <w:szCs w:val="24"/>
              </w:rPr>
              <w:drawing>
                <wp:anchor distT="0" distB="0" distL="114300" distR="114300" simplePos="0" relativeHeight="251659264" behindDoc="0" locked="0" layoutInCell="1" allowOverlap="1" wp14:anchorId="6D405377" wp14:editId="57CEDD30">
                  <wp:simplePos x="0" y="0"/>
                  <wp:positionH relativeFrom="column">
                    <wp:posOffset>5743575</wp:posOffset>
                  </wp:positionH>
                  <wp:positionV relativeFrom="page">
                    <wp:posOffset>2115185</wp:posOffset>
                  </wp:positionV>
                  <wp:extent cx="892175" cy="101854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A75">
              <w:rPr>
                <w:rFonts w:ascii="Arial" w:hAnsi="Arial" w:cs="Arial"/>
                <w:b/>
                <w:color w:val="6C6361"/>
                <w:sz w:val="24"/>
                <w:szCs w:val="24"/>
              </w:rPr>
              <w:t>Amalgamation</w:t>
            </w:r>
          </w:p>
          <w:p w:rsidR="008D48BF" w:rsidRPr="008B6F96" w:rsidRDefault="008D48BF" w:rsidP="00426CE3">
            <w:pPr>
              <w:pStyle w:val="ListParagraph"/>
              <w:numPr>
                <w:ilvl w:val="0"/>
                <w:numId w:val="2"/>
              </w:numPr>
              <w:rPr>
                <w:rFonts w:ascii="Arial" w:hAnsi="Arial" w:cs="Arial"/>
                <w:b/>
                <w:color w:val="6C6361"/>
                <w:sz w:val="24"/>
                <w:szCs w:val="24"/>
              </w:rPr>
            </w:pPr>
            <w:r w:rsidRPr="008B6F96">
              <w:rPr>
                <w:rFonts w:ascii="Arial" w:hAnsi="Arial" w:cs="Arial"/>
                <w:b/>
                <w:color w:val="6C6361"/>
                <w:sz w:val="24"/>
                <w:szCs w:val="24"/>
              </w:rPr>
              <w:t>Specified Forms</w:t>
            </w:r>
          </w:p>
          <w:p w:rsidR="008D48BF" w:rsidRPr="008B6F96" w:rsidRDefault="008D48BF" w:rsidP="00426CE3">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Can the Registrar of Companies design a specified form conferring signing authority to persons not specified in the Companies Ordinance</w:t>
            </w:r>
          </w:p>
          <w:p w:rsidR="008D48BF" w:rsidRPr="008B6F96" w:rsidRDefault="008D48BF" w:rsidP="00426CE3">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Who can be appointed as company secretary in accordance with the specified forms and under the Companies Ordinance</w:t>
            </w:r>
          </w:p>
          <w:p w:rsidR="008D48BF" w:rsidRPr="00C266FC" w:rsidRDefault="008D48BF" w:rsidP="00426CE3">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Solvency statement</w:t>
            </w:r>
          </w:p>
        </w:tc>
      </w:tr>
    </w:tbl>
    <w:p w:rsidR="00E22292" w:rsidRPr="009E5465" w:rsidRDefault="00E22292" w:rsidP="00E2229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76"/>
        <w:gridCol w:w="2847"/>
        <w:gridCol w:w="794"/>
        <w:gridCol w:w="1698"/>
        <w:gridCol w:w="2518"/>
        <w:gridCol w:w="1239"/>
      </w:tblGrid>
      <w:tr w:rsidR="008D48BF" w:rsidRPr="00320F79" w:rsidTr="008D48BF">
        <w:trPr>
          <w:trHeight w:val="397"/>
          <w:jc w:val="center"/>
        </w:trPr>
        <w:tc>
          <w:tcPr>
            <w:tcW w:w="1676" w:type="dxa"/>
            <w:tcBorders>
              <w:top w:val="nil"/>
              <w:left w:val="nil"/>
              <w:bottom w:val="single" w:sz="12" w:space="0" w:color="FFFFFF"/>
            </w:tcBorders>
            <w:shd w:val="clear" w:color="auto" w:fill="F0EBE1"/>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41" w:type="dxa"/>
            <w:gridSpan w:val="2"/>
            <w:tcBorders>
              <w:top w:val="nil"/>
              <w:bottom w:val="single" w:sz="12" w:space="0" w:color="F0EBE1"/>
            </w:tcBorders>
            <w:shd w:val="clear" w:color="auto" w:fill="FFFFFF"/>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EVT000000160</w:t>
            </w:r>
          </w:p>
        </w:tc>
        <w:tc>
          <w:tcPr>
            <w:tcW w:w="1698" w:type="dxa"/>
            <w:tcBorders>
              <w:top w:val="nil"/>
              <w:bottom w:val="single" w:sz="12" w:space="0" w:color="FFFFFF"/>
            </w:tcBorders>
            <w:shd w:val="clear" w:color="auto" w:fill="F0EBE1"/>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57" w:type="dxa"/>
            <w:gridSpan w:val="2"/>
            <w:tcBorders>
              <w:top w:val="nil"/>
              <w:bottom w:val="single" w:sz="12" w:space="0" w:color="F0EBE1"/>
              <w:right w:val="nil"/>
            </w:tcBorders>
            <w:shd w:val="clear" w:color="auto" w:fill="FFFFFF"/>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D48BF" w:rsidRPr="00320F79" w:rsidTr="008D48BF">
        <w:trPr>
          <w:trHeight w:val="397"/>
          <w:jc w:val="center"/>
        </w:trPr>
        <w:tc>
          <w:tcPr>
            <w:tcW w:w="1676" w:type="dxa"/>
            <w:tcBorders>
              <w:top w:val="single" w:sz="12" w:space="0" w:color="FFFFFF"/>
              <w:left w:val="nil"/>
              <w:bottom w:val="single" w:sz="12" w:space="0" w:color="FFFFFF"/>
            </w:tcBorders>
            <w:shd w:val="clear" w:color="auto" w:fill="F0EBE1"/>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41" w:type="dxa"/>
            <w:gridSpan w:val="2"/>
            <w:tcBorders>
              <w:top w:val="single" w:sz="12" w:space="0" w:color="F0EBE1"/>
              <w:bottom w:val="single" w:sz="12" w:space="0" w:color="F0EBE1"/>
            </w:tcBorders>
            <w:shd w:val="clear" w:color="auto" w:fill="FFFFFF"/>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20 October 2016 (Thursday)</w:t>
            </w:r>
          </w:p>
        </w:tc>
        <w:tc>
          <w:tcPr>
            <w:tcW w:w="1698" w:type="dxa"/>
            <w:tcBorders>
              <w:top w:val="single" w:sz="12" w:space="0" w:color="FFFFFF"/>
              <w:bottom w:val="single" w:sz="12" w:space="0" w:color="FFFFFF"/>
            </w:tcBorders>
            <w:shd w:val="clear" w:color="auto" w:fill="F0EBE1"/>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57" w:type="dxa"/>
            <w:gridSpan w:val="2"/>
            <w:tcBorders>
              <w:top w:val="single" w:sz="12" w:space="0" w:color="F0EBE1"/>
              <w:bottom w:val="single" w:sz="12" w:space="0" w:color="F0EBE1"/>
              <w:right w:val="nil"/>
            </w:tcBorders>
            <w:shd w:val="clear" w:color="auto" w:fill="FFFFFF"/>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8D48BF" w:rsidRPr="00320F79" w:rsidTr="008D48BF">
        <w:trPr>
          <w:trHeight w:val="397"/>
          <w:jc w:val="center"/>
        </w:trPr>
        <w:tc>
          <w:tcPr>
            <w:tcW w:w="1676" w:type="dxa"/>
            <w:tcBorders>
              <w:top w:val="single" w:sz="12" w:space="0" w:color="FFFFFF"/>
              <w:left w:val="nil"/>
              <w:bottom w:val="single" w:sz="12" w:space="0" w:color="FFFFFF"/>
            </w:tcBorders>
            <w:shd w:val="clear" w:color="auto" w:fill="F0EBE1"/>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41" w:type="dxa"/>
            <w:gridSpan w:val="2"/>
            <w:tcBorders>
              <w:top w:val="single" w:sz="12" w:space="0" w:color="F0EBE1"/>
              <w:bottom w:val="single" w:sz="12" w:space="0" w:color="F0EBE1"/>
            </w:tcBorders>
            <w:shd w:val="clear" w:color="auto" w:fill="FFFFFF"/>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15:0</w:t>
            </w:r>
            <w:r w:rsidRPr="00320F79">
              <w:rPr>
                <w:rFonts w:ascii="Arial" w:hAnsi="Arial" w:cs="Arial"/>
                <w:b/>
                <w:color w:val="6C6361"/>
                <w:sz w:val="20"/>
                <w:szCs w:val="20"/>
              </w:rPr>
              <w:t>0 - 1</w:t>
            </w:r>
            <w:r>
              <w:rPr>
                <w:rFonts w:ascii="Arial" w:hAnsi="Arial" w:cs="Arial"/>
                <w:b/>
                <w:color w:val="6C6361"/>
                <w:sz w:val="20"/>
                <w:szCs w:val="20"/>
              </w:rPr>
              <w:t>7:10</w:t>
            </w:r>
          </w:p>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14:3</w:t>
            </w:r>
            <w:r w:rsidRPr="00320F79">
              <w:rPr>
                <w:rFonts w:ascii="Arial" w:hAnsi="Arial" w:cs="Arial"/>
                <w:color w:val="6C6361"/>
                <w:sz w:val="20"/>
                <w:szCs w:val="20"/>
              </w:rPr>
              <w:t>0)</w:t>
            </w:r>
          </w:p>
        </w:tc>
        <w:tc>
          <w:tcPr>
            <w:tcW w:w="1698" w:type="dxa"/>
            <w:tcBorders>
              <w:top w:val="single" w:sz="12" w:space="0" w:color="FFFFFF"/>
              <w:bottom w:val="single" w:sz="12" w:space="0" w:color="FFFFFF"/>
            </w:tcBorders>
            <w:shd w:val="clear" w:color="auto" w:fill="F0EBE1"/>
            <w:vAlign w:val="center"/>
          </w:tcPr>
          <w:p w:rsidR="008D48BF" w:rsidRPr="00320F79"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57" w:type="dxa"/>
            <w:gridSpan w:val="2"/>
            <w:tcBorders>
              <w:top w:val="single" w:sz="12" w:space="0" w:color="F0EBE1"/>
              <w:bottom w:val="single" w:sz="12" w:space="0" w:color="F0EBE1"/>
              <w:right w:val="nil"/>
            </w:tcBorders>
            <w:shd w:val="clear" w:color="auto" w:fill="FFFFFF"/>
            <w:vAlign w:val="center"/>
          </w:tcPr>
          <w:p w:rsidR="008D48BF"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2.0 </w:t>
            </w:r>
            <w:r w:rsidRPr="00320F79">
              <w:rPr>
                <w:rFonts w:ascii="Arial" w:hAnsi="Arial" w:cs="Arial"/>
                <w:b/>
                <w:color w:val="6C6361"/>
                <w:sz w:val="20"/>
                <w:szCs w:val="20"/>
              </w:rPr>
              <w:t>CPD Points</w:t>
            </w:r>
          </w:p>
          <w:p w:rsidR="008D48BF" w:rsidRPr="00C14CD8"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C14CD8">
              <w:rPr>
                <w:rFonts w:ascii="Arial" w:hAnsi="Arial" w:cs="Arial"/>
                <w:color w:val="6C6361"/>
                <w:sz w:val="20"/>
                <w:szCs w:val="20"/>
              </w:rPr>
              <w:t xml:space="preserve">(LSHK Allocated Number: </w:t>
            </w:r>
            <w:r>
              <w:rPr>
                <w:rFonts w:ascii="Arial" w:hAnsi="Arial" w:cs="Arial"/>
                <w:color w:val="6C6361"/>
                <w:sz w:val="20"/>
                <w:szCs w:val="20"/>
              </w:rPr>
              <w:t>20163209</w:t>
            </w:r>
            <w:r w:rsidRPr="00C14CD8">
              <w:rPr>
                <w:rFonts w:ascii="Arial" w:hAnsi="Arial" w:cs="Arial"/>
                <w:color w:val="6C6361"/>
                <w:sz w:val="20"/>
                <w:szCs w:val="20"/>
              </w:rPr>
              <w:t>)</w:t>
            </w:r>
          </w:p>
          <w:p w:rsidR="008D48BF" w:rsidRPr="00B745DB" w:rsidRDefault="008D48BF" w:rsidP="008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2.0 CPT Hours</w:t>
            </w:r>
          </w:p>
        </w:tc>
      </w:tr>
      <w:tr w:rsidR="00E22292" w:rsidRPr="00320F79" w:rsidTr="008D48BF">
        <w:trPr>
          <w:trHeight w:val="1247"/>
          <w:jc w:val="center"/>
        </w:trPr>
        <w:tc>
          <w:tcPr>
            <w:tcW w:w="1676" w:type="dxa"/>
            <w:tcBorders>
              <w:top w:val="single" w:sz="12" w:space="0" w:color="FFFFFF"/>
              <w:left w:val="nil"/>
              <w:bottom w:val="nil"/>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47" w:type="dxa"/>
            <w:tcBorders>
              <w:top w:val="single" w:sz="12" w:space="0" w:color="F0EBE1"/>
              <w:bottom w:val="nil"/>
              <w:right w:val="nil"/>
            </w:tcBorders>
            <w:shd w:val="clear" w:color="auto" w:fill="FFFFFF"/>
            <w:vAlign w:val="center"/>
          </w:tcPr>
          <w:p w:rsidR="00E22292" w:rsidRPr="00320F79" w:rsidRDefault="00E22292" w:rsidP="00B00E5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22292" w:rsidRDefault="00E22292" w:rsidP="00B00E5E">
            <w:pPr>
              <w:jc w:val="right"/>
              <w:rPr>
                <w:rFonts w:ascii="Arial" w:hAnsi="Arial" w:cs="Arial"/>
                <w:b/>
                <w:color w:val="6C6361"/>
                <w:sz w:val="20"/>
                <w:szCs w:val="20"/>
              </w:rPr>
            </w:pPr>
          </w:p>
          <w:p w:rsidR="00E22292" w:rsidRDefault="00E22292" w:rsidP="00B00E5E">
            <w:pPr>
              <w:jc w:val="right"/>
              <w:rPr>
                <w:rFonts w:ascii="Arial" w:hAnsi="Arial" w:cs="Arial"/>
                <w:b/>
                <w:color w:val="6C6361"/>
                <w:sz w:val="20"/>
                <w:szCs w:val="20"/>
              </w:rPr>
            </w:pPr>
          </w:p>
          <w:p w:rsidR="00E22292" w:rsidRPr="00320F79" w:rsidRDefault="00E22292" w:rsidP="00B00E5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0B5FB07" wp14:editId="306BE54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22292" w:rsidRPr="00E2201B" w:rsidRDefault="00E22292" w:rsidP="00B00E5E">
            <w:pPr>
              <w:jc w:val="right"/>
              <w:rPr>
                <w:rFonts w:ascii="Arial" w:hAnsi="Arial" w:cs="Arial"/>
                <w:b/>
                <w:color w:val="6C6361"/>
                <w:sz w:val="12"/>
                <w:szCs w:val="12"/>
              </w:rPr>
            </w:pPr>
          </w:p>
        </w:tc>
        <w:tc>
          <w:tcPr>
            <w:tcW w:w="1698" w:type="dxa"/>
            <w:tcBorders>
              <w:top w:val="single" w:sz="12" w:space="0" w:color="FFFFFF"/>
              <w:bottom w:val="nil"/>
            </w:tcBorders>
            <w:shd w:val="clear" w:color="auto" w:fill="F0EBE1"/>
            <w:vAlign w:val="center"/>
          </w:tcPr>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18" w:type="dxa"/>
            <w:tcBorders>
              <w:top w:val="single" w:sz="12" w:space="0" w:color="F0EBE1"/>
              <w:bottom w:val="nil"/>
              <w:right w:val="nil"/>
            </w:tcBorders>
            <w:shd w:val="clear" w:color="auto" w:fill="FFFFFF"/>
            <w:vAlign w:val="center"/>
          </w:tcPr>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rsidR="00E22292" w:rsidRPr="00156567"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647B54D" wp14:editId="7803230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22292" w:rsidRDefault="00214BC6" w:rsidP="00E22292"/>
    <w:sectPr w:rsidR="00214BC6" w:rsidRPr="00E2229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972" w:rsidRDefault="00CA0972" w:rsidP="00546556">
      <w:r>
        <w:separator/>
      </w:r>
    </w:p>
  </w:endnote>
  <w:endnote w:type="continuationSeparator" w:id="0">
    <w:p w:rsidR="00CA0972" w:rsidRDefault="00CA097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972" w:rsidRDefault="00CA0972" w:rsidP="00546556">
      <w:r>
        <w:separator/>
      </w:r>
    </w:p>
  </w:footnote>
  <w:footnote w:type="continuationSeparator" w:id="0">
    <w:p w:rsidR="00CA0972" w:rsidRDefault="00CA097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huEffnTLbEWwgwx4idAXuR84eaNJJcJVgSnUh9lBMf4YzTso79shYZucH5fQNiKRjAQQ460TPdsTzVBPAbpgdA==" w:salt="HdL8QghDfzejM8RjBPJEs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853"/>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283"/>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48BF"/>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0972"/>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2292"/>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80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6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E9B73-4485-4A94-A4CD-B41D78EA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552</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CPT Course: The New Companies Ordinance (Cap.622) and the Specified Forms: Questions From a Company Secretary</vt:lpstr>
    </vt:vector>
  </TitlesOfParts>
  <Manager>Tyrone Tsang</Manager>
  <Company>The Profectional Company Limited</Company>
  <LinksUpToDate>false</LinksUpToDate>
  <CharactersWithSpaces>3697</CharactersWithSpaces>
  <SharedDoc>false</SharedDoc>
  <HyperlinkBase>http://download.profectional.com/events/EVT000000160.docx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The New Companies Ordinance (Cap.622) and the Specified Forms: Questions From a Company Secretary</dc:title>
  <dc:subject>CPD Course, CPT Course: The New Companies Ordinance (Cap.622) and the Specified Forms: Questions From a Company Secretary</dc:subject>
  <dc:creator>The Profectional Company Limited</dc:creator>
  <cp:keywords>Profectional; Kornerstone; CPD; CPT; CLE; CE; RME; Belinda Wong; Author; Hong Kong Company Secretary’s Practice Manual; Director; Leader Corporate Services Limited</cp:keywords>
  <cp:lastModifiedBy>Tyrone Tsang</cp:lastModifiedBy>
  <cp:revision>37</cp:revision>
  <cp:lastPrinted>2016-06-21T15:14:00Z</cp:lastPrinted>
  <dcterms:created xsi:type="dcterms:W3CDTF">2015-08-21T08:33:00Z</dcterms:created>
  <dcterms:modified xsi:type="dcterms:W3CDTF">2016-10-19T16:19:00Z</dcterms:modified>
</cp:coreProperties>
</file>