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2EB" w:rsidRPr="003D22EB" w:rsidRDefault="003D22EB" w:rsidP="003D22E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D22EB" w:rsidRPr="00523A64" w:rsidTr="00B471FA">
        <w:trPr>
          <w:trHeight w:val="3119"/>
          <w:jc w:val="center"/>
        </w:trPr>
        <w:tc>
          <w:tcPr>
            <w:tcW w:w="4820" w:type="dxa"/>
            <w:shd w:val="clear" w:color="auto" w:fill="FFFFFF"/>
            <w:vAlign w:val="center"/>
          </w:tcPr>
          <w:p w:rsidR="003D22EB" w:rsidRPr="001A3018" w:rsidRDefault="003D22EB" w:rsidP="00B471FA">
            <w:pPr>
              <w:jc w:val="center"/>
              <w:rPr>
                <w:rFonts w:ascii="Arial" w:hAnsi="Arial" w:cs="Arial"/>
                <w:b/>
                <w:bCs/>
                <w:color w:val="524B48"/>
                <w:sz w:val="4"/>
                <w:szCs w:val="4"/>
              </w:rPr>
            </w:pPr>
          </w:p>
          <w:p w:rsidR="003D22EB" w:rsidRDefault="003D22EB" w:rsidP="00B471FA">
            <w:pPr>
              <w:jc w:val="center"/>
              <w:rPr>
                <w:rStyle w:val="Hyperlink"/>
                <w:rFonts w:ascii="Arial" w:hAnsi="Arial" w:cs="Arial"/>
                <w:b/>
                <w:bCs/>
                <w:color w:val="524B48"/>
                <w:sz w:val="32"/>
                <w:szCs w:val="32"/>
                <w:u w:val="none"/>
              </w:rPr>
            </w:pPr>
            <w:r w:rsidRPr="00CF685C">
              <w:fldChar w:fldCharType="begin"/>
            </w:r>
            <w:r>
              <w:instrText>HYPERLINK "http://cpd.hk/evt000000164/"</w:instrText>
            </w:r>
            <w:r w:rsidRPr="00CF685C">
              <w:fldChar w:fldCharType="separate"/>
            </w:r>
            <w:r>
              <w:rPr>
                <w:rStyle w:val="Hyperlink"/>
                <w:rFonts w:ascii="Arial" w:hAnsi="Arial" w:cs="Arial"/>
                <w:b/>
                <w:bCs/>
                <w:color w:val="524B48"/>
                <w:sz w:val="32"/>
                <w:szCs w:val="32"/>
                <w:u w:val="none"/>
              </w:rPr>
              <w:t>Conducting Investigations</w:t>
            </w:r>
          </w:p>
          <w:p w:rsidR="003D22EB" w:rsidRDefault="003D22EB" w:rsidP="00B471F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While Following</w:t>
            </w:r>
          </w:p>
          <w:p w:rsidR="003D22EB" w:rsidRDefault="003D22EB" w:rsidP="00B471F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Data Privacy Laws:</w:t>
            </w:r>
          </w:p>
          <w:p w:rsidR="003D22EB" w:rsidRPr="00CF685C" w:rsidRDefault="003D22EB" w:rsidP="00B471FA">
            <w:pPr>
              <w:jc w:val="center"/>
              <w:rPr>
                <w:rStyle w:val="Hyperlink"/>
                <w:rFonts w:ascii="Arial" w:hAnsi="Arial" w:cs="Arial"/>
                <w:b/>
                <w:bCs/>
                <w:color w:val="524B48"/>
                <w:sz w:val="32"/>
                <w:szCs w:val="32"/>
                <w:u w:val="none"/>
              </w:rPr>
            </w:pPr>
            <w:r w:rsidRPr="00C109DF">
              <w:rPr>
                <w:rStyle w:val="Hyperlink"/>
                <w:rFonts w:ascii="Arial" w:hAnsi="Arial" w:cs="Arial"/>
                <w:b/>
                <w:bCs/>
                <w:color w:val="524B48"/>
                <w:sz w:val="32"/>
                <w:szCs w:val="32"/>
                <w:u w:val="none"/>
              </w:rPr>
              <w:t>The Great Convergence</w:t>
            </w:r>
          </w:p>
          <w:p w:rsidR="003D22EB" w:rsidRPr="00C65AFD" w:rsidRDefault="003D22EB" w:rsidP="00B471FA">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D22EB" w:rsidRPr="00C65AFD" w:rsidRDefault="003D22EB" w:rsidP="00B471FA">
            <w:pPr>
              <w:jc w:val="center"/>
              <w:rPr>
                <w:rFonts w:ascii="Arial" w:hAnsi="Arial" w:cs="Arial"/>
                <w:i/>
                <w:color w:val="6C6361"/>
                <w:sz w:val="24"/>
                <w:szCs w:val="24"/>
              </w:rPr>
            </w:pPr>
            <w:r w:rsidRPr="00C65AFD">
              <w:rPr>
                <w:rFonts w:ascii="Arial" w:hAnsi="Arial" w:cs="Arial"/>
                <w:i/>
                <w:color w:val="6C6361"/>
                <w:sz w:val="24"/>
                <w:szCs w:val="24"/>
              </w:rPr>
              <w:t>by</w:t>
            </w:r>
          </w:p>
          <w:p w:rsidR="003D22EB" w:rsidRPr="00A35F54" w:rsidRDefault="003D22EB" w:rsidP="00B471FA">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Dmitri Hubbard</w:t>
              </w:r>
            </w:hyperlink>
            <w:r w:rsidRPr="00A35F54">
              <w:rPr>
                <w:rFonts w:ascii="Arial" w:hAnsi="Arial" w:cs="Arial"/>
                <w:color w:val="6C6361"/>
                <w:sz w:val="24"/>
                <w:szCs w:val="24"/>
              </w:rPr>
              <w:t>,</w:t>
            </w:r>
          </w:p>
          <w:p w:rsidR="003D22EB" w:rsidRDefault="003D22EB" w:rsidP="00B471FA">
            <w:pPr>
              <w:jc w:val="center"/>
              <w:rPr>
                <w:rFonts w:ascii="Arial" w:hAnsi="Arial" w:cs="Arial"/>
                <w:color w:val="6C6361"/>
                <w:sz w:val="24"/>
                <w:szCs w:val="24"/>
              </w:rPr>
            </w:pPr>
            <w:r w:rsidRPr="00C109DF">
              <w:rPr>
                <w:rFonts w:ascii="Arial" w:hAnsi="Arial" w:cs="Arial"/>
                <w:color w:val="6C6361"/>
                <w:sz w:val="24"/>
                <w:szCs w:val="24"/>
              </w:rPr>
              <w:t>Regional Vice President, Asia-P</w:t>
            </w:r>
            <w:r>
              <w:rPr>
                <w:rFonts w:ascii="Arial" w:hAnsi="Arial" w:cs="Arial"/>
                <w:color w:val="6C6361"/>
                <w:sz w:val="24"/>
                <w:szCs w:val="24"/>
              </w:rPr>
              <w:t>acific,</w:t>
            </w:r>
          </w:p>
          <w:p w:rsidR="003D22EB" w:rsidRDefault="003D22EB" w:rsidP="00B471FA">
            <w:pPr>
              <w:jc w:val="center"/>
              <w:rPr>
                <w:rFonts w:ascii="Arial" w:hAnsi="Arial" w:cs="Arial"/>
                <w:color w:val="6C6361"/>
                <w:sz w:val="24"/>
                <w:szCs w:val="24"/>
              </w:rPr>
            </w:pPr>
            <w:r>
              <w:rPr>
                <w:rFonts w:ascii="Arial" w:hAnsi="Arial" w:cs="Arial"/>
                <w:color w:val="6C6361"/>
                <w:sz w:val="24"/>
                <w:szCs w:val="24"/>
              </w:rPr>
              <w:t>Consulting &amp; Analytics,</w:t>
            </w:r>
          </w:p>
          <w:p w:rsidR="003D22EB" w:rsidRDefault="003D22EB" w:rsidP="00B471FA">
            <w:pPr>
              <w:jc w:val="center"/>
              <w:rPr>
                <w:rFonts w:ascii="Arial" w:hAnsi="Arial" w:cs="Arial"/>
                <w:color w:val="6C6361"/>
                <w:sz w:val="24"/>
                <w:szCs w:val="24"/>
              </w:rPr>
            </w:pPr>
            <w:r w:rsidRPr="00C109DF">
              <w:rPr>
                <w:rFonts w:ascii="Arial" w:hAnsi="Arial" w:cs="Arial"/>
                <w:color w:val="6C6361"/>
                <w:sz w:val="24"/>
                <w:szCs w:val="24"/>
              </w:rPr>
              <w:t>Xerox Services</w:t>
            </w:r>
          </w:p>
          <w:p w:rsidR="003D22EB" w:rsidRPr="00D87ECF" w:rsidRDefault="003D22EB" w:rsidP="00B471FA">
            <w:pPr>
              <w:jc w:val="center"/>
              <w:rPr>
                <w:rFonts w:ascii="Arial" w:hAnsi="Arial" w:cs="Arial"/>
                <w:color w:val="6C6361"/>
                <w:sz w:val="8"/>
                <w:szCs w:val="8"/>
              </w:rPr>
            </w:pPr>
          </w:p>
        </w:tc>
        <w:tc>
          <w:tcPr>
            <w:tcW w:w="5954" w:type="dxa"/>
            <w:shd w:val="clear" w:color="auto" w:fill="FFFFFF"/>
            <w:vAlign w:val="center"/>
          </w:tcPr>
          <w:p w:rsidR="003D22EB" w:rsidRPr="00D50772" w:rsidRDefault="003D22EB" w:rsidP="00B471FA">
            <w:pPr>
              <w:spacing w:line="276" w:lineRule="auto"/>
              <w:jc w:val="center"/>
              <w:rPr>
                <w:rFonts w:ascii="Arial" w:eastAsia="Times New Roman" w:hAnsi="Arial" w:cs="Arial"/>
                <w:noProof/>
                <w:sz w:val="20"/>
                <w:szCs w:val="20"/>
              </w:rPr>
            </w:pPr>
            <w:r w:rsidRPr="00C109DF">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287AE4DB" wp14:editId="0DAA6E3E">
                  <wp:simplePos x="0" y="0"/>
                  <wp:positionH relativeFrom="column">
                    <wp:posOffset>3178175</wp:posOffset>
                  </wp:positionH>
                  <wp:positionV relativeFrom="paragraph">
                    <wp:posOffset>-101600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E53FB57" wp14:editId="56DE28F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D22EB" w:rsidRPr="008E7FFC" w:rsidRDefault="003D22EB" w:rsidP="003D22EB">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3D22EB" w:rsidRPr="001C78E1" w:rsidTr="00B471FA">
        <w:trPr>
          <w:trHeight w:val="2813"/>
          <w:jc w:val="center"/>
        </w:trPr>
        <w:tc>
          <w:tcPr>
            <w:tcW w:w="1985" w:type="dxa"/>
            <w:shd w:val="clear" w:color="auto" w:fill="FFFFFF"/>
            <w:vAlign w:val="center"/>
          </w:tcPr>
          <w:p w:rsidR="003D22EB" w:rsidRPr="001C78E1" w:rsidRDefault="003D22EB" w:rsidP="00B471FA">
            <w:pPr>
              <w:spacing w:line="276" w:lineRule="auto"/>
              <w:jc w:val="center"/>
              <w:rPr>
                <w:rFonts w:ascii="Arial" w:hAnsi="Arial" w:cs="Arial"/>
                <w:sz w:val="20"/>
                <w:szCs w:val="20"/>
              </w:rPr>
            </w:pPr>
            <w:r w:rsidRPr="001C78E1">
              <w:rPr>
                <w:rFonts w:ascii="Arial" w:hAnsi="Arial" w:cs="Arial"/>
                <w:noProof/>
                <w:sz w:val="20"/>
                <w:szCs w:val="20"/>
              </w:rPr>
              <w:drawing>
                <wp:inline distT="0" distB="0" distL="0" distR="0" wp14:anchorId="23D7AA29" wp14:editId="23A7B379">
                  <wp:extent cx="1079997" cy="1439997"/>
                  <wp:effectExtent l="0" t="0" r="6350" b="8255"/>
                  <wp:docPr id="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3">
                            <a:extLst>
                              <a:ext uri="{28A0092B-C50C-407E-A947-70E740481C1C}">
                                <a14:useLocalDpi xmlns:a14="http://schemas.microsoft.com/office/drawing/2010/main" val="0"/>
                              </a:ext>
                            </a:extLst>
                          </a:blip>
                          <a:stretch>
                            <a:fillRect/>
                          </a:stretch>
                        </pic:blipFill>
                        <pic:spPr>
                          <a:xfrm>
                            <a:off x="0" y="0"/>
                            <a:ext cx="1079997" cy="1439997"/>
                          </a:xfrm>
                          <a:prstGeom prst="rect">
                            <a:avLst/>
                          </a:prstGeom>
                        </pic:spPr>
                      </pic:pic>
                    </a:graphicData>
                  </a:graphic>
                </wp:inline>
              </w:drawing>
            </w:r>
          </w:p>
        </w:tc>
        <w:tc>
          <w:tcPr>
            <w:tcW w:w="8788" w:type="dxa"/>
            <w:shd w:val="clear" w:color="auto" w:fill="FFFFFF"/>
            <w:vAlign w:val="center"/>
          </w:tcPr>
          <w:p w:rsidR="003D22EB" w:rsidRPr="00FC6229" w:rsidRDefault="003D22EB" w:rsidP="003D22EB">
            <w:pPr>
              <w:pStyle w:val="NormalWeb"/>
              <w:spacing w:before="0" w:beforeAutospacing="0" w:after="0" w:afterAutospacing="0"/>
              <w:jc w:val="both"/>
              <w:rPr>
                <w:rFonts w:ascii="Arial" w:hAnsi="Arial" w:cs="Arial"/>
                <w:color w:val="6C6361"/>
                <w:sz w:val="19"/>
                <w:szCs w:val="19"/>
              </w:rPr>
            </w:pPr>
            <w:r w:rsidRPr="00FC6229">
              <w:rPr>
                <w:rFonts w:ascii="Arial" w:hAnsi="Arial" w:cs="Arial"/>
                <w:color w:val="6C6361"/>
                <w:sz w:val="19"/>
                <w:szCs w:val="19"/>
              </w:rPr>
              <w:t>Based in Hong Kong, Dmitri focuses on internal and regulatory investigations, international and cross border litigation, arbitration and white collar crime across Asia-Pacific.  He has worked with many of the top 100 law firms and General Counsel for Global 1000 companies across Asia, Australasia, the UK and U.S.  Dmitri also specializes in advising clients on regulatory and litigation matters involving data privacy concerns, forensic investigative needs, electronic discovery, data migration, data mapping, evidence management, document review and analysis.  He is also widely published and has been an adjunct professor at all three of Hong Kong's law schools.</w:t>
            </w:r>
          </w:p>
          <w:p w:rsidR="003D22EB" w:rsidRPr="00F06078" w:rsidRDefault="003D22EB" w:rsidP="003D22EB">
            <w:pPr>
              <w:pStyle w:val="NormalWeb"/>
              <w:spacing w:before="0" w:beforeAutospacing="0" w:after="0" w:afterAutospacing="0"/>
              <w:jc w:val="both"/>
              <w:rPr>
                <w:rFonts w:ascii="Arial" w:hAnsi="Arial" w:cs="Arial"/>
                <w:color w:val="6C6361"/>
                <w:sz w:val="6"/>
                <w:szCs w:val="8"/>
              </w:rPr>
            </w:pPr>
          </w:p>
          <w:p w:rsidR="003D22EB" w:rsidRPr="00FC6229" w:rsidRDefault="003D22EB" w:rsidP="003D22EB">
            <w:pPr>
              <w:pStyle w:val="NormalWeb"/>
              <w:spacing w:before="0" w:beforeAutospacing="0" w:after="0" w:afterAutospacing="0"/>
              <w:jc w:val="both"/>
              <w:rPr>
                <w:rFonts w:ascii="Arial" w:hAnsi="Arial" w:cs="Arial"/>
                <w:color w:val="6C6361"/>
                <w:sz w:val="19"/>
                <w:szCs w:val="19"/>
              </w:rPr>
            </w:pPr>
            <w:r w:rsidRPr="00FC6229">
              <w:rPr>
                <w:rFonts w:ascii="Arial" w:hAnsi="Arial" w:cs="Arial"/>
                <w:color w:val="6C6361"/>
                <w:sz w:val="19"/>
                <w:szCs w:val="19"/>
              </w:rPr>
              <w:t>Dmitri is a qualified Barrister and Solicitor of the High Court of New Zealand.  Dmitri holds a Bachelor of Laws, a Master of Laws (focusing on international commercial law) and a Bachelor of Arts in English Literature and Economics from Victoria University of Wellington.  He holds a Diploma in International Trade and Shipping Law from London Guildhall University and frequently presents at industry seminars and conferences across Asia.</w:t>
            </w:r>
          </w:p>
        </w:tc>
      </w:tr>
    </w:tbl>
    <w:p w:rsidR="003D22EB" w:rsidRPr="008E7FFC" w:rsidRDefault="003D22EB" w:rsidP="003D22EB">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5387"/>
        <w:gridCol w:w="5386"/>
      </w:tblGrid>
      <w:tr w:rsidR="003D22EB" w:rsidRPr="00FC6229" w:rsidTr="00B471FA">
        <w:trPr>
          <w:trHeight w:val="2332"/>
          <w:jc w:val="center"/>
        </w:trPr>
        <w:tc>
          <w:tcPr>
            <w:tcW w:w="10773" w:type="dxa"/>
            <w:gridSpan w:val="2"/>
            <w:tcBorders>
              <w:top w:val="nil"/>
              <w:bottom w:val="nil"/>
            </w:tcBorders>
            <w:shd w:val="clear" w:color="auto" w:fill="FFFFFF" w:themeFill="background1"/>
            <w:vAlign w:val="center"/>
          </w:tcPr>
          <w:p w:rsidR="003D22EB" w:rsidRPr="00FC6229" w:rsidRDefault="003D22EB" w:rsidP="00B471FA">
            <w:pPr>
              <w:ind w:right="33"/>
              <w:rPr>
                <w:rFonts w:ascii="Arial" w:hAnsi="Arial" w:cs="Arial"/>
                <w:color w:val="6C6361"/>
                <w:sz w:val="19"/>
                <w:szCs w:val="19"/>
              </w:rPr>
            </w:pPr>
            <w:r w:rsidRPr="00FC6229">
              <w:rPr>
                <w:rFonts w:ascii="Arial" w:hAnsi="Arial" w:cs="Arial"/>
                <w:color w:val="6C6361"/>
                <w:sz w:val="19"/>
                <w:szCs w:val="19"/>
              </w:rPr>
              <w:t>Data Privacy is the great headache every lawyer needs to address in relation to any regulatory investigation, litigation involving the disclosure of personal data or internal investigation into fraud, bribery or money laundering.</w:t>
            </w:r>
          </w:p>
          <w:p w:rsidR="003D22EB" w:rsidRPr="00F06078" w:rsidRDefault="003D22EB" w:rsidP="00B471FA">
            <w:pPr>
              <w:ind w:right="33"/>
              <w:rPr>
                <w:rFonts w:ascii="Arial" w:hAnsi="Arial" w:cs="Arial"/>
                <w:color w:val="6C6361"/>
                <w:sz w:val="6"/>
                <w:szCs w:val="8"/>
              </w:rPr>
            </w:pPr>
          </w:p>
          <w:p w:rsidR="003D22EB" w:rsidRPr="00FC6229" w:rsidRDefault="003D22EB" w:rsidP="00B471FA">
            <w:pPr>
              <w:ind w:right="33"/>
              <w:rPr>
                <w:rFonts w:ascii="Arial" w:hAnsi="Arial" w:cs="Arial"/>
                <w:color w:val="6C6361"/>
                <w:sz w:val="19"/>
                <w:szCs w:val="19"/>
              </w:rPr>
            </w:pPr>
            <w:r w:rsidRPr="00FC6229">
              <w:rPr>
                <w:rFonts w:ascii="Arial" w:hAnsi="Arial" w:cs="Arial"/>
                <w:color w:val="6C6361"/>
                <w:sz w:val="19"/>
                <w:szCs w:val="19"/>
              </w:rPr>
              <w:t xml:space="preserve">This course contains practical advice for law firms on how to avoid legal liability for themselves and their clients.  That liability will generally arise through an inadvertent breach of data privacy laws either locally or internationally.  The EU privacy laws have far reaching consequences for internal and regulatory investigations in Asia and how law firms and corporations must conduct these procedures. </w:t>
            </w:r>
          </w:p>
          <w:p w:rsidR="003D22EB" w:rsidRPr="00F06078" w:rsidRDefault="003D22EB" w:rsidP="00B471FA">
            <w:pPr>
              <w:ind w:right="33"/>
              <w:rPr>
                <w:rFonts w:ascii="Arial" w:hAnsi="Arial" w:cs="Arial"/>
                <w:color w:val="6C6361"/>
                <w:sz w:val="6"/>
                <w:szCs w:val="8"/>
              </w:rPr>
            </w:pPr>
          </w:p>
          <w:p w:rsidR="003D22EB" w:rsidRPr="00FC6229" w:rsidRDefault="003D22EB" w:rsidP="00B471FA">
            <w:pPr>
              <w:ind w:right="33"/>
              <w:rPr>
                <w:rFonts w:ascii="Arial" w:hAnsi="Arial" w:cs="Arial"/>
                <w:color w:val="6C6361"/>
                <w:sz w:val="19"/>
                <w:szCs w:val="19"/>
              </w:rPr>
            </w:pPr>
            <w:r w:rsidRPr="00FC6229">
              <w:rPr>
                <w:rFonts w:ascii="Arial" w:hAnsi="Arial" w:cs="Arial"/>
                <w:color w:val="6C6361"/>
                <w:sz w:val="19"/>
                <w:szCs w:val="19"/>
              </w:rPr>
              <w:t>With the emerging technologies such as cloud storage and internet of things (</w:t>
            </w:r>
            <w:proofErr w:type="spellStart"/>
            <w:r w:rsidRPr="00FC6229">
              <w:rPr>
                <w:rFonts w:ascii="Arial" w:hAnsi="Arial" w:cs="Arial"/>
                <w:color w:val="6C6361"/>
                <w:sz w:val="19"/>
                <w:szCs w:val="19"/>
              </w:rPr>
              <w:t>IoT</w:t>
            </w:r>
            <w:proofErr w:type="spellEnd"/>
            <w:r w:rsidRPr="00FC6229">
              <w:rPr>
                <w:rFonts w:ascii="Arial" w:hAnsi="Arial" w:cs="Arial"/>
                <w:color w:val="6C6361"/>
                <w:sz w:val="19"/>
                <w:szCs w:val="19"/>
              </w:rPr>
              <w:t>), the potential for privacy breaches becomes more wide ranging.  We examine the use of technology and analytics to protect firms and their clients from inadvertent exposure to these risks.  We examine these in the context of civil and criminal penalties that may apply in Hong Kong.</w:t>
            </w:r>
          </w:p>
        </w:tc>
      </w:tr>
      <w:tr w:rsidR="003D22EB" w:rsidRPr="00FC6229" w:rsidTr="00B471FA">
        <w:trPr>
          <w:trHeight w:val="340"/>
          <w:jc w:val="center"/>
        </w:trPr>
        <w:tc>
          <w:tcPr>
            <w:tcW w:w="10773" w:type="dxa"/>
            <w:gridSpan w:val="2"/>
            <w:tcBorders>
              <w:top w:val="nil"/>
              <w:bottom w:val="nil"/>
            </w:tcBorders>
            <w:shd w:val="clear" w:color="auto" w:fill="F0EBE1"/>
            <w:vAlign w:val="center"/>
          </w:tcPr>
          <w:p w:rsidR="003D22EB" w:rsidRPr="00FC6229" w:rsidRDefault="003D22EB" w:rsidP="00B471FA">
            <w:pPr>
              <w:rPr>
                <w:rFonts w:ascii="Arial" w:hAnsi="Arial" w:cs="Arial"/>
                <w:b/>
                <w:color w:val="524B48"/>
                <w:sz w:val="19"/>
                <w:szCs w:val="19"/>
              </w:rPr>
            </w:pPr>
            <w:r w:rsidRPr="00FC6229">
              <w:rPr>
                <w:rFonts w:ascii="Arial" w:hAnsi="Arial" w:cs="Arial"/>
                <w:b/>
                <w:color w:val="524B48"/>
                <w:sz w:val="19"/>
                <w:szCs w:val="19"/>
              </w:rPr>
              <w:t>It addresses the following topics:</w:t>
            </w:r>
          </w:p>
        </w:tc>
      </w:tr>
      <w:tr w:rsidR="003D22EB" w:rsidRPr="00FC6229" w:rsidTr="00B471FA">
        <w:trPr>
          <w:trHeight w:val="2155"/>
          <w:jc w:val="center"/>
        </w:trPr>
        <w:tc>
          <w:tcPr>
            <w:tcW w:w="5387" w:type="dxa"/>
            <w:tcBorders>
              <w:top w:val="nil"/>
              <w:bottom w:val="nil"/>
              <w:right w:val="nil"/>
            </w:tcBorders>
            <w:shd w:val="clear" w:color="auto" w:fill="FFFFFF"/>
            <w:vAlign w:val="center"/>
          </w:tcPr>
          <w:p w:rsidR="003D22EB" w:rsidRPr="00FC6229" w:rsidRDefault="003D22EB" w:rsidP="00B471FA">
            <w:pPr>
              <w:pStyle w:val="ListParagraph"/>
              <w:numPr>
                <w:ilvl w:val="0"/>
                <w:numId w:val="2"/>
              </w:numPr>
              <w:ind w:right="-108"/>
              <w:rPr>
                <w:rFonts w:ascii="Arial" w:hAnsi="Arial" w:cs="Arial"/>
                <w:color w:val="6C6361"/>
                <w:sz w:val="19"/>
                <w:szCs w:val="19"/>
              </w:rPr>
            </w:pPr>
            <w:r w:rsidRPr="00FC6229">
              <w:rPr>
                <w:rFonts w:ascii="Arial" w:hAnsi="Arial" w:cs="Arial"/>
                <w:color w:val="6C6361"/>
                <w:sz w:val="19"/>
                <w:szCs w:val="19"/>
              </w:rPr>
              <w:t>Case studies in Asia-Pacific involving data privacy issues in investigations</w:t>
            </w:r>
          </w:p>
          <w:p w:rsidR="003D22EB" w:rsidRPr="00FC6229" w:rsidRDefault="003D22EB" w:rsidP="00B471FA">
            <w:pPr>
              <w:pStyle w:val="ListParagraph"/>
              <w:numPr>
                <w:ilvl w:val="0"/>
                <w:numId w:val="2"/>
              </w:numPr>
              <w:ind w:right="-108"/>
              <w:rPr>
                <w:rFonts w:ascii="Arial" w:hAnsi="Arial" w:cs="Arial"/>
                <w:color w:val="6C6361"/>
                <w:sz w:val="19"/>
                <w:szCs w:val="19"/>
              </w:rPr>
            </w:pPr>
            <w:r w:rsidRPr="00FC6229">
              <w:rPr>
                <w:rFonts w:ascii="Arial" w:hAnsi="Arial" w:cs="Arial"/>
                <w:color w:val="6C6361"/>
                <w:sz w:val="19"/>
                <w:szCs w:val="19"/>
              </w:rPr>
              <w:t xml:space="preserve">Out with safe </w:t>
            </w:r>
            <w:proofErr w:type="spellStart"/>
            <w:r w:rsidRPr="00FC6229">
              <w:rPr>
                <w:rFonts w:ascii="Arial" w:hAnsi="Arial" w:cs="Arial"/>
                <w:color w:val="6C6361"/>
                <w:sz w:val="19"/>
                <w:szCs w:val="19"/>
              </w:rPr>
              <w:t>harbour</w:t>
            </w:r>
            <w:proofErr w:type="spellEnd"/>
            <w:r w:rsidRPr="00FC6229">
              <w:rPr>
                <w:rFonts w:ascii="Arial" w:hAnsi="Arial" w:cs="Arial"/>
                <w:color w:val="6C6361"/>
                <w:sz w:val="19"/>
                <w:szCs w:val="19"/>
              </w:rPr>
              <w:t>, in with privacy shield, implications for Asia</w:t>
            </w:r>
          </w:p>
          <w:p w:rsidR="003D22EB" w:rsidRPr="00FC6229" w:rsidRDefault="003D22EB" w:rsidP="00B471FA">
            <w:pPr>
              <w:pStyle w:val="ListParagraph"/>
              <w:numPr>
                <w:ilvl w:val="0"/>
                <w:numId w:val="2"/>
              </w:numPr>
              <w:rPr>
                <w:rFonts w:ascii="Arial" w:hAnsi="Arial" w:cs="Arial"/>
                <w:color w:val="6C6361"/>
                <w:sz w:val="19"/>
                <w:szCs w:val="19"/>
              </w:rPr>
            </w:pPr>
            <w:r w:rsidRPr="00FC6229">
              <w:rPr>
                <w:rFonts w:ascii="Arial" w:hAnsi="Arial" w:cs="Arial"/>
                <w:color w:val="6C6361"/>
                <w:sz w:val="19"/>
                <w:szCs w:val="19"/>
              </w:rPr>
              <w:t>Modern issues affecting liability for choice of jurisdiction such as:</w:t>
            </w:r>
          </w:p>
          <w:p w:rsidR="003D22EB" w:rsidRPr="00FC6229" w:rsidRDefault="003D22EB" w:rsidP="00B471FA">
            <w:pPr>
              <w:pStyle w:val="ListParagraph"/>
              <w:numPr>
                <w:ilvl w:val="1"/>
                <w:numId w:val="2"/>
              </w:numPr>
              <w:ind w:right="-108"/>
              <w:rPr>
                <w:rFonts w:ascii="Arial" w:hAnsi="Arial" w:cs="Arial"/>
                <w:color w:val="6C6361"/>
                <w:sz w:val="19"/>
                <w:szCs w:val="19"/>
              </w:rPr>
            </w:pPr>
            <w:r w:rsidRPr="00FC6229">
              <w:rPr>
                <w:rFonts w:ascii="Arial" w:hAnsi="Arial" w:cs="Arial"/>
                <w:color w:val="6C6361"/>
                <w:sz w:val="19"/>
                <w:szCs w:val="19"/>
              </w:rPr>
              <w:t>Cloud storage</w:t>
            </w:r>
          </w:p>
          <w:p w:rsidR="003D22EB" w:rsidRPr="00FC6229" w:rsidRDefault="003D22EB" w:rsidP="00B471FA">
            <w:pPr>
              <w:pStyle w:val="ListParagraph"/>
              <w:numPr>
                <w:ilvl w:val="1"/>
                <w:numId w:val="2"/>
              </w:numPr>
              <w:ind w:right="-108"/>
              <w:rPr>
                <w:rFonts w:ascii="Arial" w:hAnsi="Arial" w:cs="Arial"/>
                <w:color w:val="6C6361"/>
                <w:sz w:val="19"/>
                <w:szCs w:val="19"/>
              </w:rPr>
            </w:pPr>
            <w:r w:rsidRPr="00FC6229">
              <w:rPr>
                <w:rFonts w:ascii="Arial" w:hAnsi="Arial" w:cs="Arial"/>
                <w:color w:val="6C6361"/>
                <w:sz w:val="19"/>
                <w:szCs w:val="19"/>
              </w:rPr>
              <w:t>Internet of Things (</w:t>
            </w:r>
            <w:proofErr w:type="spellStart"/>
            <w:r w:rsidRPr="00FC6229">
              <w:rPr>
                <w:rFonts w:ascii="Arial" w:hAnsi="Arial" w:cs="Arial"/>
                <w:color w:val="6C6361"/>
                <w:sz w:val="19"/>
                <w:szCs w:val="19"/>
              </w:rPr>
              <w:t>IoT</w:t>
            </w:r>
            <w:proofErr w:type="spellEnd"/>
            <w:r w:rsidRPr="00FC6229">
              <w:rPr>
                <w:rFonts w:ascii="Arial" w:hAnsi="Arial" w:cs="Arial"/>
                <w:color w:val="6C6361"/>
                <w:sz w:val="19"/>
                <w:szCs w:val="19"/>
              </w:rPr>
              <w:t>)</w:t>
            </w:r>
          </w:p>
          <w:p w:rsidR="003D22EB" w:rsidRPr="00FC6229" w:rsidRDefault="003D22EB" w:rsidP="00B471FA">
            <w:pPr>
              <w:pStyle w:val="ListParagraph"/>
              <w:numPr>
                <w:ilvl w:val="1"/>
                <w:numId w:val="2"/>
              </w:numPr>
              <w:ind w:right="-108"/>
              <w:rPr>
                <w:rFonts w:ascii="Arial" w:hAnsi="Arial" w:cs="Arial"/>
                <w:color w:val="6C6361"/>
                <w:sz w:val="19"/>
                <w:szCs w:val="19"/>
              </w:rPr>
            </w:pPr>
            <w:r w:rsidRPr="00FC6229">
              <w:rPr>
                <w:rFonts w:ascii="Arial" w:hAnsi="Arial" w:cs="Arial"/>
                <w:color w:val="6C6361"/>
                <w:sz w:val="19"/>
                <w:szCs w:val="19"/>
              </w:rPr>
              <w:t xml:space="preserve">Device </w:t>
            </w:r>
            <w:proofErr w:type="spellStart"/>
            <w:r w:rsidRPr="00FC6229">
              <w:rPr>
                <w:rFonts w:ascii="Arial" w:hAnsi="Arial" w:cs="Arial"/>
                <w:color w:val="6C6361"/>
                <w:sz w:val="19"/>
                <w:szCs w:val="19"/>
              </w:rPr>
              <w:t>synchronisation</w:t>
            </w:r>
            <w:proofErr w:type="spellEnd"/>
            <w:r w:rsidRPr="00FC6229">
              <w:rPr>
                <w:rFonts w:ascii="Arial" w:hAnsi="Arial" w:cs="Arial"/>
                <w:color w:val="6C6361"/>
                <w:sz w:val="19"/>
                <w:szCs w:val="19"/>
              </w:rPr>
              <w:t xml:space="preserve"> and security</w:t>
            </w:r>
          </w:p>
        </w:tc>
        <w:tc>
          <w:tcPr>
            <w:tcW w:w="5386" w:type="dxa"/>
            <w:tcBorders>
              <w:top w:val="nil"/>
              <w:left w:val="nil"/>
              <w:bottom w:val="nil"/>
            </w:tcBorders>
            <w:shd w:val="clear" w:color="auto" w:fill="FFFFFF"/>
            <w:vAlign w:val="center"/>
          </w:tcPr>
          <w:p w:rsidR="003D22EB" w:rsidRPr="00FC6229" w:rsidRDefault="003D22EB" w:rsidP="00B471FA">
            <w:pPr>
              <w:pStyle w:val="ListParagraph"/>
              <w:numPr>
                <w:ilvl w:val="1"/>
                <w:numId w:val="2"/>
              </w:numPr>
              <w:ind w:right="33"/>
              <w:rPr>
                <w:rFonts w:ascii="Arial" w:hAnsi="Arial" w:cs="Arial"/>
                <w:color w:val="6C6361"/>
                <w:sz w:val="19"/>
                <w:szCs w:val="19"/>
              </w:rPr>
            </w:pPr>
            <w:r w:rsidRPr="008E7FFC">
              <w:rPr>
                <w:rFonts w:ascii="Arial" w:hAnsi="Arial" w:cs="Arial"/>
                <w:noProof/>
                <w:color w:val="6C6361"/>
                <w:sz w:val="19"/>
                <w:szCs w:val="19"/>
              </w:rPr>
              <w:drawing>
                <wp:anchor distT="0" distB="0" distL="114300" distR="114300" simplePos="0" relativeHeight="251660288" behindDoc="1" locked="0" layoutInCell="1" allowOverlap="1" wp14:anchorId="739CF4DB" wp14:editId="676A75D5">
                  <wp:simplePos x="0" y="0"/>
                  <wp:positionH relativeFrom="column">
                    <wp:posOffset>2344420</wp:posOffset>
                  </wp:positionH>
                  <wp:positionV relativeFrom="paragraph">
                    <wp:posOffset>193040</wp:posOffset>
                  </wp:positionV>
                  <wp:extent cx="892175" cy="1018540"/>
                  <wp:effectExtent l="0" t="0" r="3175" b="0"/>
                  <wp:wrapTight wrapText="bothSides">
                    <wp:wrapPolygon edited="0">
                      <wp:start x="0" y="0"/>
                      <wp:lineTo x="0" y="21007"/>
                      <wp:lineTo x="922" y="21007"/>
                      <wp:lineTo x="21216" y="21007"/>
                      <wp:lineTo x="21216" y="0"/>
                      <wp:lineTo x="193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229">
              <w:rPr>
                <w:rFonts w:ascii="Arial" w:hAnsi="Arial" w:cs="Arial"/>
                <w:color w:val="6C6361"/>
                <w:sz w:val="19"/>
                <w:szCs w:val="19"/>
              </w:rPr>
              <w:t>Problematic jurisdictions in Asia for conducting investigations</w:t>
            </w:r>
          </w:p>
          <w:p w:rsidR="003D22EB" w:rsidRPr="00FC6229" w:rsidRDefault="003D22EB" w:rsidP="00B471FA">
            <w:pPr>
              <w:pStyle w:val="ListParagraph"/>
              <w:numPr>
                <w:ilvl w:val="0"/>
                <w:numId w:val="2"/>
              </w:numPr>
              <w:ind w:right="-108"/>
              <w:rPr>
                <w:rFonts w:ascii="Arial" w:hAnsi="Arial" w:cs="Arial"/>
                <w:color w:val="6C6361"/>
                <w:sz w:val="19"/>
                <w:szCs w:val="19"/>
              </w:rPr>
            </w:pPr>
            <w:r w:rsidRPr="00FC6229">
              <w:rPr>
                <w:rFonts w:ascii="Arial" w:hAnsi="Arial" w:cs="Arial"/>
                <w:color w:val="6C6361"/>
                <w:sz w:val="19"/>
                <w:szCs w:val="19"/>
              </w:rPr>
              <w:t>Technological solutions to reduce risk:</w:t>
            </w:r>
          </w:p>
          <w:p w:rsidR="003D22EB" w:rsidRPr="00FC6229" w:rsidRDefault="003D22EB" w:rsidP="00B471FA">
            <w:pPr>
              <w:pStyle w:val="ListParagraph"/>
              <w:numPr>
                <w:ilvl w:val="1"/>
                <w:numId w:val="2"/>
              </w:numPr>
              <w:ind w:right="-108"/>
              <w:rPr>
                <w:rFonts w:ascii="Arial" w:hAnsi="Arial" w:cs="Arial"/>
                <w:color w:val="6C6361"/>
                <w:sz w:val="19"/>
                <w:szCs w:val="19"/>
              </w:rPr>
            </w:pPr>
            <w:r w:rsidRPr="00FC6229">
              <w:rPr>
                <w:rFonts w:ascii="Arial" w:hAnsi="Arial" w:cs="Arial"/>
                <w:color w:val="6C6361"/>
                <w:sz w:val="19"/>
                <w:szCs w:val="19"/>
              </w:rPr>
              <w:t>Forensic Analysis</w:t>
            </w:r>
          </w:p>
          <w:p w:rsidR="003D22EB" w:rsidRPr="00FC6229" w:rsidRDefault="003D22EB" w:rsidP="00B471FA">
            <w:pPr>
              <w:pStyle w:val="ListParagraph"/>
              <w:numPr>
                <w:ilvl w:val="1"/>
                <w:numId w:val="2"/>
              </w:numPr>
              <w:ind w:right="-108"/>
              <w:rPr>
                <w:rFonts w:ascii="Arial" w:hAnsi="Arial" w:cs="Arial"/>
                <w:color w:val="6C6361"/>
                <w:sz w:val="19"/>
                <w:szCs w:val="19"/>
              </w:rPr>
            </w:pPr>
            <w:r w:rsidRPr="00FC6229">
              <w:rPr>
                <w:rFonts w:ascii="Arial" w:hAnsi="Arial" w:cs="Arial"/>
                <w:color w:val="6C6361"/>
                <w:sz w:val="19"/>
                <w:szCs w:val="19"/>
              </w:rPr>
              <w:t>Data Analytics</w:t>
            </w:r>
          </w:p>
          <w:p w:rsidR="003D22EB" w:rsidRPr="00FC6229" w:rsidRDefault="003D22EB" w:rsidP="00B471FA">
            <w:pPr>
              <w:pStyle w:val="ListParagraph"/>
              <w:numPr>
                <w:ilvl w:val="1"/>
                <w:numId w:val="2"/>
              </w:numPr>
              <w:ind w:right="-108"/>
              <w:rPr>
                <w:rFonts w:ascii="Arial" w:hAnsi="Arial" w:cs="Arial"/>
                <w:color w:val="6C6361"/>
                <w:sz w:val="19"/>
                <w:szCs w:val="19"/>
              </w:rPr>
            </w:pPr>
            <w:r w:rsidRPr="00FC6229">
              <w:rPr>
                <w:rFonts w:ascii="Arial" w:hAnsi="Arial" w:cs="Arial"/>
                <w:color w:val="6C6361"/>
                <w:sz w:val="19"/>
                <w:szCs w:val="19"/>
              </w:rPr>
              <w:t xml:space="preserve">Data </w:t>
            </w:r>
            <w:proofErr w:type="spellStart"/>
            <w:r w:rsidRPr="00FC6229">
              <w:rPr>
                <w:rFonts w:ascii="Arial" w:hAnsi="Arial" w:cs="Arial"/>
                <w:color w:val="6C6361"/>
                <w:sz w:val="19"/>
                <w:szCs w:val="19"/>
              </w:rPr>
              <w:t>centre</w:t>
            </w:r>
            <w:proofErr w:type="spellEnd"/>
            <w:r w:rsidRPr="00FC6229">
              <w:rPr>
                <w:rFonts w:ascii="Arial" w:hAnsi="Arial" w:cs="Arial"/>
                <w:color w:val="6C6361"/>
                <w:sz w:val="19"/>
                <w:szCs w:val="19"/>
              </w:rPr>
              <w:t xml:space="preserve"> storage/review environments</w:t>
            </w:r>
          </w:p>
          <w:p w:rsidR="003D22EB" w:rsidRPr="00FC6229" w:rsidRDefault="003D22EB" w:rsidP="00B471FA">
            <w:pPr>
              <w:ind w:left="360" w:right="-108"/>
              <w:rPr>
                <w:rFonts w:ascii="Arial" w:hAnsi="Arial" w:cs="Arial"/>
                <w:color w:val="6C6361"/>
                <w:sz w:val="19"/>
                <w:szCs w:val="19"/>
              </w:rPr>
            </w:pPr>
          </w:p>
        </w:tc>
      </w:tr>
    </w:tbl>
    <w:p w:rsidR="003D22EB" w:rsidRPr="008E7FFC" w:rsidRDefault="003D22EB" w:rsidP="003D22EB">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55"/>
        <w:gridCol w:w="1330"/>
      </w:tblGrid>
      <w:tr w:rsidR="003D22EB" w:rsidRPr="00FC6229" w:rsidTr="00B471FA">
        <w:trPr>
          <w:trHeight w:val="340"/>
          <w:jc w:val="center"/>
        </w:trPr>
        <w:tc>
          <w:tcPr>
            <w:tcW w:w="1701" w:type="dxa"/>
            <w:tcBorders>
              <w:top w:val="nil"/>
              <w:left w:val="nil"/>
              <w:bottom w:val="single" w:sz="12" w:space="0" w:color="FFFFFF"/>
            </w:tcBorders>
            <w:shd w:val="clear" w:color="auto" w:fill="F0EBE1"/>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FC6229">
              <w:rPr>
                <w:rFonts w:ascii="Arial" w:eastAsia="Times New Roman" w:hAnsi="Arial" w:cs="Arial"/>
                <w:noProof/>
                <w:color w:val="524B48"/>
                <w:sz w:val="19"/>
                <w:szCs w:val="19"/>
              </w:rPr>
              <w:t>Code:</w:t>
            </w:r>
          </w:p>
        </w:tc>
        <w:tc>
          <w:tcPr>
            <w:tcW w:w="3685" w:type="dxa"/>
            <w:gridSpan w:val="2"/>
            <w:tcBorders>
              <w:top w:val="nil"/>
              <w:bottom w:val="single" w:sz="12" w:space="0" w:color="F0EBE1"/>
            </w:tcBorders>
            <w:shd w:val="clear" w:color="auto" w:fill="FFFFFF"/>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FC6229">
              <w:rPr>
                <w:rFonts w:ascii="Arial" w:hAnsi="Arial" w:cs="Arial"/>
                <w:b/>
                <w:bCs/>
                <w:color w:val="6C6361"/>
                <w:sz w:val="19"/>
                <w:szCs w:val="19"/>
              </w:rPr>
              <w:t>EVT000000164</w:t>
            </w:r>
          </w:p>
        </w:tc>
        <w:tc>
          <w:tcPr>
            <w:tcW w:w="1701" w:type="dxa"/>
            <w:tcBorders>
              <w:top w:val="nil"/>
              <w:bottom w:val="single" w:sz="12" w:space="0" w:color="FFFFFF"/>
            </w:tcBorders>
            <w:shd w:val="clear" w:color="auto" w:fill="F0EBE1"/>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FC6229">
              <w:rPr>
                <w:rFonts w:ascii="Arial" w:eastAsia="Times New Roman" w:hAnsi="Arial" w:cs="Arial"/>
                <w:noProof/>
                <w:color w:val="524B48"/>
                <w:sz w:val="19"/>
                <w:szCs w:val="19"/>
              </w:rPr>
              <w:t>Level:</w:t>
            </w:r>
          </w:p>
        </w:tc>
        <w:tc>
          <w:tcPr>
            <w:tcW w:w="3685" w:type="dxa"/>
            <w:gridSpan w:val="2"/>
            <w:tcBorders>
              <w:top w:val="nil"/>
              <w:bottom w:val="single" w:sz="12" w:space="0" w:color="F0EBE1"/>
              <w:right w:val="nil"/>
            </w:tcBorders>
            <w:shd w:val="clear" w:color="auto" w:fill="FFFFFF"/>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FC6229">
              <w:rPr>
                <w:rFonts w:ascii="Arial" w:eastAsia="Times New Roman" w:hAnsi="Arial" w:cs="Arial"/>
                <w:b/>
                <w:noProof/>
                <w:color w:val="6C6361"/>
                <w:sz w:val="19"/>
                <w:szCs w:val="19"/>
              </w:rPr>
              <w:t>Advanced</w:t>
            </w:r>
          </w:p>
        </w:tc>
      </w:tr>
      <w:tr w:rsidR="003D22EB" w:rsidRPr="00FC6229" w:rsidTr="00B471FA">
        <w:trPr>
          <w:trHeight w:val="340"/>
          <w:jc w:val="center"/>
        </w:trPr>
        <w:tc>
          <w:tcPr>
            <w:tcW w:w="1701" w:type="dxa"/>
            <w:tcBorders>
              <w:top w:val="single" w:sz="12" w:space="0" w:color="FFFFFF"/>
              <w:left w:val="nil"/>
              <w:bottom w:val="single" w:sz="12" w:space="0" w:color="FFFFFF"/>
            </w:tcBorders>
            <w:shd w:val="clear" w:color="auto" w:fill="F0EBE1"/>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FC6229">
              <w:rPr>
                <w:rFonts w:ascii="Arial" w:eastAsia="Times New Roman" w:hAnsi="Arial" w:cs="Arial"/>
                <w:noProof/>
                <w:color w:val="524B48"/>
                <w:sz w:val="19"/>
                <w:szCs w:val="19"/>
              </w:rPr>
              <w:t>Date:</w:t>
            </w:r>
          </w:p>
        </w:tc>
        <w:tc>
          <w:tcPr>
            <w:tcW w:w="3685" w:type="dxa"/>
            <w:gridSpan w:val="2"/>
            <w:tcBorders>
              <w:top w:val="single" w:sz="12" w:space="0" w:color="F0EBE1"/>
              <w:bottom w:val="single" w:sz="12" w:space="0" w:color="F0EBE1"/>
            </w:tcBorders>
            <w:shd w:val="clear" w:color="auto" w:fill="FFFFFF"/>
            <w:vAlign w:val="center"/>
          </w:tcPr>
          <w:p w:rsidR="003D22EB" w:rsidRPr="008E7FFC"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Pr>
                <w:rFonts w:ascii="Arial" w:hAnsi="Arial" w:cs="Arial"/>
                <w:b/>
                <w:color w:val="6C6361"/>
                <w:sz w:val="19"/>
                <w:szCs w:val="19"/>
              </w:rPr>
              <w:t>15 August 2017</w:t>
            </w:r>
            <w:r w:rsidRPr="00FC6229">
              <w:rPr>
                <w:rFonts w:ascii="Arial" w:hAnsi="Arial" w:cs="Arial"/>
                <w:b/>
                <w:color w:val="6C6361"/>
                <w:sz w:val="19"/>
                <w:szCs w:val="19"/>
              </w:rPr>
              <w:t xml:space="preserve"> (</w:t>
            </w:r>
            <w:r>
              <w:rPr>
                <w:rFonts w:ascii="Arial" w:hAnsi="Arial" w:cs="Arial"/>
                <w:b/>
                <w:color w:val="6C6361"/>
                <w:sz w:val="19"/>
                <w:szCs w:val="19"/>
              </w:rPr>
              <w:t>Tuesday</w:t>
            </w:r>
            <w:r w:rsidRPr="00FC6229">
              <w:rPr>
                <w:rFonts w:ascii="Arial" w:hAnsi="Arial" w:cs="Arial"/>
                <w:b/>
                <w:color w:val="6C6361"/>
                <w:sz w:val="19"/>
                <w:szCs w:val="19"/>
              </w:rPr>
              <w:t>)</w:t>
            </w:r>
            <w:r>
              <w:rPr>
                <w:rFonts w:ascii="Arial" w:hAnsi="Arial" w:cs="Arial"/>
                <w:b/>
                <w:color w:val="6C6361"/>
                <w:sz w:val="19"/>
                <w:szCs w:val="19"/>
              </w:rPr>
              <w:t xml:space="preserve"> (Amended)</w:t>
            </w:r>
          </w:p>
        </w:tc>
        <w:tc>
          <w:tcPr>
            <w:tcW w:w="1701" w:type="dxa"/>
            <w:tcBorders>
              <w:top w:val="single" w:sz="12" w:space="0" w:color="FFFFFF"/>
              <w:bottom w:val="single" w:sz="12" w:space="0" w:color="FFFFFF"/>
            </w:tcBorders>
            <w:shd w:val="clear" w:color="auto" w:fill="F0EBE1"/>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FC6229">
              <w:rPr>
                <w:rFonts w:ascii="Arial" w:eastAsia="Times New Roman" w:hAnsi="Arial" w:cs="Arial"/>
                <w:noProof/>
                <w:color w:val="524B48"/>
                <w:sz w:val="19"/>
                <w:szCs w:val="19"/>
              </w:rPr>
              <w:t>Language:</w:t>
            </w:r>
          </w:p>
        </w:tc>
        <w:tc>
          <w:tcPr>
            <w:tcW w:w="3685" w:type="dxa"/>
            <w:gridSpan w:val="2"/>
            <w:tcBorders>
              <w:top w:val="single" w:sz="12" w:space="0" w:color="F0EBE1"/>
              <w:bottom w:val="single" w:sz="12" w:space="0" w:color="F0EBE1"/>
              <w:right w:val="nil"/>
            </w:tcBorders>
            <w:shd w:val="clear" w:color="auto" w:fill="FFFFFF"/>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19"/>
                <w:szCs w:val="19"/>
              </w:rPr>
            </w:pPr>
            <w:r w:rsidRPr="00FC6229">
              <w:rPr>
                <w:rFonts w:ascii="Arial" w:eastAsia="Times New Roman" w:hAnsi="Arial" w:cs="Arial"/>
                <w:b/>
                <w:noProof/>
                <w:color w:val="6C6361"/>
                <w:sz w:val="19"/>
                <w:szCs w:val="19"/>
              </w:rPr>
              <w:t>English</w:t>
            </w:r>
          </w:p>
        </w:tc>
      </w:tr>
      <w:tr w:rsidR="003D22EB" w:rsidRPr="00FC6229" w:rsidTr="00B471FA">
        <w:trPr>
          <w:trHeight w:val="340"/>
          <w:jc w:val="center"/>
        </w:trPr>
        <w:tc>
          <w:tcPr>
            <w:tcW w:w="1701" w:type="dxa"/>
            <w:tcBorders>
              <w:top w:val="single" w:sz="12" w:space="0" w:color="FFFFFF"/>
              <w:left w:val="nil"/>
              <w:bottom w:val="single" w:sz="12" w:space="0" w:color="FFFFFF"/>
            </w:tcBorders>
            <w:shd w:val="clear" w:color="auto" w:fill="F0EBE1"/>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FC6229">
              <w:rPr>
                <w:rFonts w:ascii="Arial" w:eastAsia="Times New Roman" w:hAnsi="Arial" w:cs="Arial"/>
                <w:noProof/>
                <w:color w:val="524B48"/>
                <w:sz w:val="19"/>
                <w:szCs w:val="19"/>
              </w:rPr>
              <w:t>Time:</w:t>
            </w:r>
          </w:p>
        </w:tc>
        <w:tc>
          <w:tcPr>
            <w:tcW w:w="3685" w:type="dxa"/>
            <w:gridSpan w:val="2"/>
            <w:tcBorders>
              <w:top w:val="single" w:sz="12" w:space="0" w:color="F0EBE1"/>
              <w:bottom w:val="single" w:sz="12" w:space="0" w:color="F0EBE1"/>
            </w:tcBorders>
            <w:shd w:val="clear" w:color="auto" w:fill="FFFFFF"/>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19"/>
                <w:szCs w:val="19"/>
              </w:rPr>
            </w:pPr>
            <w:r w:rsidRPr="00FC6229">
              <w:rPr>
                <w:rFonts w:ascii="Arial" w:hAnsi="Arial" w:cs="Arial"/>
                <w:b/>
                <w:color w:val="6C6361"/>
                <w:sz w:val="19"/>
                <w:szCs w:val="19"/>
              </w:rPr>
              <w:t>14:30 - 17:45</w:t>
            </w:r>
          </w:p>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19"/>
                <w:szCs w:val="19"/>
              </w:rPr>
            </w:pPr>
            <w:r w:rsidRPr="00FC6229">
              <w:rPr>
                <w:rFonts w:ascii="Arial" w:hAnsi="Arial" w:cs="Arial"/>
                <w:color w:val="6C6361"/>
                <w:sz w:val="19"/>
                <w:szCs w:val="19"/>
              </w:rPr>
              <w:t>(Reception starts at 14:00)</w:t>
            </w:r>
          </w:p>
        </w:tc>
        <w:tc>
          <w:tcPr>
            <w:tcW w:w="1701" w:type="dxa"/>
            <w:tcBorders>
              <w:top w:val="single" w:sz="12" w:space="0" w:color="FFFFFF"/>
              <w:bottom w:val="single" w:sz="12" w:space="0" w:color="FFFFFF"/>
            </w:tcBorders>
            <w:shd w:val="clear" w:color="auto" w:fill="F0EBE1"/>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19"/>
                <w:szCs w:val="19"/>
              </w:rPr>
            </w:pPr>
            <w:r w:rsidRPr="00FC6229">
              <w:rPr>
                <w:rFonts w:ascii="Arial" w:eastAsia="Times New Roman" w:hAnsi="Arial" w:cs="Arial"/>
                <w:noProof/>
                <w:color w:val="524B48"/>
                <w:sz w:val="19"/>
                <w:szCs w:val="19"/>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D22EB"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19"/>
                <w:szCs w:val="19"/>
              </w:rPr>
            </w:pPr>
            <w:r w:rsidRPr="00FC6229">
              <w:rPr>
                <w:rFonts w:ascii="Arial" w:hAnsi="Arial" w:cs="Arial"/>
                <w:b/>
                <w:color w:val="6C6361"/>
                <w:sz w:val="19"/>
                <w:szCs w:val="19"/>
              </w:rPr>
              <w:t xml:space="preserve">LSHK </w:t>
            </w:r>
            <w:r>
              <w:rPr>
                <w:rFonts w:ascii="Arial" w:hAnsi="Arial" w:cs="Arial"/>
                <w:b/>
                <w:color w:val="6C6361"/>
                <w:sz w:val="19"/>
                <w:szCs w:val="19"/>
              </w:rPr>
              <w:t>3.0 CPD Points</w:t>
            </w:r>
          </w:p>
          <w:p w:rsidR="003D22EB" w:rsidRPr="00424C5E"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19"/>
                <w:szCs w:val="19"/>
              </w:rPr>
            </w:pPr>
            <w:r>
              <w:rPr>
                <w:rFonts w:ascii="Arial" w:hAnsi="Arial" w:cs="Arial"/>
                <w:color w:val="6C6361"/>
                <w:sz w:val="19"/>
                <w:szCs w:val="19"/>
              </w:rPr>
              <w:t xml:space="preserve">(LSHK Allocated Number: </w:t>
            </w:r>
            <w:r w:rsidRPr="00424C5E">
              <w:rPr>
                <w:rFonts w:ascii="Arial" w:hAnsi="Arial" w:cs="Arial"/>
                <w:color w:val="6C6361"/>
                <w:sz w:val="19"/>
                <w:szCs w:val="19"/>
              </w:rPr>
              <w:t>20163417)</w:t>
            </w:r>
          </w:p>
        </w:tc>
      </w:tr>
      <w:tr w:rsidR="003D22EB" w:rsidRPr="00FC6229" w:rsidTr="00B471FA">
        <w:trPr>
          <w:trHeight w:val="1247"/>
          <w:jc w:val="center"/>
        </w:trPr>
        <w:tc>
          <w:tcPr>
            <w:tcW w:w="1701" w:type="dxa"/>
            <w:tcBorders>
              <w:top w:val="single" w:sz="12" w:space="0" w:color="FFFFFF"/>
              <w:left w:val="nil"/>
              <w:bottom w:val="nil"/>
            </w:tcBorders>
            <w:shd w:val="clear" w:color="auto" w:fill="F0EBE1"/>
            <w:vAlign w:val="center"/>
          </w:tcPr>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FC6229">
              <w:rPr>
                <w:rFonts w:ascii="Arial" w:eastAsia="Times New Roman" w:hAnsi="Arial" w:cs="Arial"/>
                <w:noProof/>
                <w:color w:val="524B48"/>
                <w:sz w:val="19"/>
                <w:szCs w:val="19"/>
              </w:rPr>
              <w:t>Venue:</w:t>
            </w:r>
          </w:p>
        </w:tc>
        <w:tc>
          <w:tcPr>
            <w:tcW w:w="2891" w:type="dxa"/>
            <w:tcBorders>
              <w:top w:val="single" w:sz="12" w:space="0" w:color="F0EBE1"/>
              <w:bottom w:val="nil"/>
              <w:right w:val="nil"/>
            </w:tcBorders>
            <w:shd w:val="clear" w:color="auto" w:fill="FFFFFF"/>
            <w:vAlign w:val="center"/>
          </w:tcPr>
          <w:p w:rsidR="003D22EB" w:rsidRPr="00FC6229" w:rsidRDefault="003D22EB" w:rsidP="00B471F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19"/>
                <w:szCs w:val="19"/>
                <w:u w:val="none"/>
              </w:rPr>
            </w:pPr>
            <w:r w:rsidRPr="00FC6229">
              <w:rPr>
                <w:rFonts w:ascii="Arial" w:hAnsi="Arial" w:cs="Arial"/>
                <w:b/>
                <w:color w:val="6C6361"/>
                <w:sz w:val="19"/>
                <w:szCs w:val="19"/>
              </w:rPr>
              <w:fldChar w:fldCharType="begin"/>
            </w:r>
            <w:r w:rsidRPr="00FC6229">
              <w:rPr>
                <w:rFonts w:ascii="Arial" w:hAnsi="Arial" w:cs="Arial"/>
                <w:b/>
                <w:color w:val="6C6361"/>
                <w:sz w:val="19"/>
                <w:szCs w:val="19"/>
              </w:rPr>
              <w:instrText>HYPERLINK "http://goo.gl/maps/DKYQ1"</w:instrText>
            </w:r>
            <w:r w:rsidRPr="00FC6229">
              <w:rPr>
                <w:rFonts w:ascii="Arial" w:hAnsi="Arial" w:cs="Arial"/>
                <w:b/>
                <w:color w:val="6C6361"/>
                <w:sz w:val="19"/>
                <w:szCs w:val="19"/>
              </w:rPr>
              <w:fldChar w:fldCharType="separate"/>
            </w:r>
            <w:proofErr w:type="spellStart"/>
            <w:r w:rsidRPr="00FC6229">
              <w:rPr>
                <w:rStyle w:val="Hyperlink"/>
                <w:rFonts w:ascii="Arial" w:hAnsi="Arial" w:cs="Arial"/>
                <w:b/>
                <w:color w:val="6C6361"/>
                <w:sz w:val="19"/>
                <w:szCs w:val="19"/>
                <w:u w:val="none"/>
              </w:rPr>
              <w:t>Kornerstone</w:t>
            </w:r>
            <w:proofErr w:type="spellEnd"/>
            <w:r w:rsidRPr="00FC6229">
              <w:rPr>
                <w:rStyle w:val="Hyperlink"/>
                <w:rFonts w:ascii="Arial" w:hAnsi="Arial" w:cs="Arial"/>
                <w:b/>
                <w:color w:val="6C6361"/>
                <w:sz w:val="19"/>
                <w:szCs w:val="19"/>
                <w:u w:val="none"/>
              </w:rPr>
              <w:t xml:space="preserve"> Institute</w:t>
            </w:r>
          </w:p>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19"/>
                <w:szCs w:val="19"/>
                <w:u w:val="none"/>
              </w:rPr>
            </w:pPr>
            <w:r w:rsidRPr="00FC6229">
              <w:rPr>
                <w:rStyle w:val="Hyperlink"/>
                <w:rFonts w:ascii="Arial" w:hAnsi="Arial" w:cs="Arial"/>
                <w:color w:val="6C6361"/>
                <w:sz w:val="19"/>
                <w:szCs w:val="19"/>
                <w:u w:val="none"/>
              </w:rPr>
              <w:t xml:space="preserve">15/F, Hip </w:t>
            </w:r>
            <w:proofErr w:type="spellStart"/>
            <w:r w:rsidRPr="00FC6229">
              <w:rPr>
                <w:rStyle w:val="Hyperlink"/>
                <w:rFonts w:ascii="Arial" w:hAnsi="Arial" w:cs="Arial"/>
                <w:color w:val="6C6361"/>
                <w:sz w:val="19"/>
                <w:szCs w:val="19"/>
                <w:u w:val="none"/>
              </w:rPr>
              <w:t>Shing</w:t>
            </w:r>
            <w:proofErr w:type="spellEnd"/>
            <w:r w:rsidRPr="00FC6229">
              <w:rPr>
                <w:rStyle w:val="Hyperlink"/>
                <w:rFonts w:ascii="Arial" w:hAnsi="Arial" w:cs="Arial"/>
                <w:color w:val="6C6361"/>
                <w:sz w:val="19"/>
                <w:szCs w:val="19"/>
                <w:u w:val="none"/>
              </w:rPr>
              <w:t xml:space="preserve"> Hong Centre</w:t>
            </w:r>
          </w:p>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19"/>
                <w:szCs w:val="19"/>
                <w:u w:val="none"/>
              </w:rPr>
            </w:pPr>
            <w:r w:rsidRPr="00FC6229">
              <w:rPr>
                <w:rStyle w:val="Hyperlink"/>
                <w:rFonts w:ascii="Arial" w:hAnsi="Arial" w:cs="Arial"/>
                <w:color w:val="6C6361"/>
                <w:sz w:val="19"/>
                <w:szCs w:val="19"/>
                <w:u w:val="none"/>
              </w:rPr>
              <w:t xml:space="preserve">55 Des </w:t>
            </w:r>
            <w:proofErr w:type="spellStart"/>
            <w:r w:rsidRPr="00FC6229">
              <w:rPr>
                <w:rStyle w:val="Hyperlink"/>
                <w:rFonts w:ascii="Arial" w:hAnsi="Arial" w:cs="Arial"/>
                <w:color w:val="6C6361"/>
                <w:sz w:val="19"/>
                <w:szCs w:val="19"/>
                <w:u w:val="none"/>
              </w:rPr>
              <w:t>Voeux</w:t>
            </w:r>
            <w:proofErr w:type="spellEnd"/>
            <w:r w:rsidRPr="00FC6229">
              <w:rPr>
                <w:rStyle w:val="Hyperlink"/>
                <w:rFonts w:ascii="Arial" w:hAnsi="Arial" w:cs="Arial"/>
                <w:color w:val="6C6361"/>
                <w:sz w:val="19"/>
                <w:szCs w:val="19"/>
                <w:u w:val="none"/>
              </w:rPr>
              <w:t xml:space="preserve"> Road Central</w:t>
            </w:r>
          </w:p>
          <w:p w:rsidR="003D22EB" w:rsidRPr="00FC6229"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19"/>
                <w:szCs w:val="19"/>
              </w:rPr>
            </w:pPr>
            <w:r w:rsidRPr="00FC6229">
              <w:rPr>
                <w:rStyle w:val="Hyperlink"/>
                <w:rFonts w:ascii="Arial" w:hAnsi="Arial" w:cs="Arial"/>
                <w:color w:val="6C6361"/>
                <w:sz w:val="19"/>
                <w:szCs w:val="19"/>
                <w:u w:val="none"/>
              </w:rPr>
              <w:t>Central, Hong Kong</w:t>
            </w:r>
            <w:r w:rsidRPr="00FC6229">
              <w:rPr>
                <w:rFonts w:ascii="Arial" w:hAnsi="Arial" w:cs="Arial"/>
                <w:b/>
                <w:color w:val="6C6361"/>
                <w:sz w:val="19"/>
                <w:szCs w:val="19"/>
              </w:rPr>
              <w:fldChar w:fldCharType="end"/>
            </w:r>
          </w:p>
        </w:tc>
        <w:tc>
          <w:tcPr>
            <w:tcW w:w="794" w:type="dxa"/>
            <w:tcBorders>
              <w:top w:val="single" w:sz="12" w:space="0" w:color="F0EBE1"/>
              <w:left w:val="nil"/>
              <w:bottom w:val="nil"/>
            </w:tcBorders>
            <w:shd w:val="clear" w:color="auto" w:fill="FFFFFF"/>
            <w:vAlign w:val="bottom"/>
          </w:tcPr>
          <w:p w:rsidR="003D22EB" w:rsidRPr="00FC6229" w:rsidRDefault="003D22EB" w:rsidP="00B471FA">
            <w:pPr>
              <w:jc w:val="right"/>
              <w:rPr>
                <w:rFonts w:ascii="Arial" w:hAnsi="Arial" w:cs="Arial"/>
                <w:b/>
                <w:color w:val="6C6361"/>
                <w:sz w:val="19"/>
                <w:szCs w:val="19"/>
              </w:rPr>
            </w:pPr>
          </w:p>
          <w:p w:rsidR="003D22EB" w:rsidRPr="00FC6229" w:rsidRDefault="003D22EB" w:rsidP="00B471FA">
            <w:pPr>
              <w:jc w:val="right"/>
              <w:rPr>
                <w:rFonts w:ascii="Arial" w:hAnsi="Arial" w:cs="Arial"/>
                <w:b/>
                <w:color w:val="6C6361"/>
                <w:sz w:val="19"/>
                <w:szCs w:val="19"/>
              </w:rPr>
            </w:pPr>
          </w:p>
          <w:p w:rsidR="003D22EB" w:rsidRPr="00FC6229" w:rsidRDefault="003D22EB" w:rsidP="00B471FA">
            <w:pPr>
              <w:jc w:val="right"/>
              <w:rPr>
                <w:rFonts w:ascii="Arial" w:hAnsi="Arial" w:cs="Arial"/>
                <w:b/>
                <w:color w:val="6C6361"/>
                <w:sz w:val="19"/>
                <w:szCs w:val="19"/>
              </w:rPr>
            </w:pPr>
            <w:r w:rsidRPr="00FC6229">
              <w:rPr>
                <w:rFonts w:ascii="Arial" w:hAnsi="Arial" w:cs="Arial"/>
                <w:b/>
                <w:noProof/>
                <w:color w:val="6C6361"/>
                <w:sz w:val="19"/>
                <w:szCs w:val="19"/>
              </w:rPr>
              <w:drawing>
                <wp:inline distT="0" distB="0" distL="0" distR="0" wp14:anchorId="7A376B61" wp14:editId="3B1F63DF">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D22EB" w:rsidRPr="00FC6229" w:rsidRDefault="003D22EB" w:rsidP="00B471FA">
            <w:pPr>
              <w:jc w:val="right"/>
              <w:rPr>
                <w:rFonts w:ascii="Arial" w:hAnsi="Arial" w:cs="Arial"/>
                <w:b/>
                <w:color w:val="6C6361"/>
                <w:sz w:val="19"/>
                <w:szCs w:val="19"/>
              </w:rPr>
            </w:pPr>
          </w:p>
        </w:tc>
        <w:tc>
          <w:tcPr>
            <w:tcW w:w="1701" w:type="dxa"/>
            <w:tcBorders>
              <w:top w:val="single" w:sz="12" w:space="0" w:color="FFFFFF"/>
              <w:bottom w:val="nil"/>
            </w:tcBorders>
            <w:shd w:val="clear" w:color="auto" w:fill="F0EBE1"/>
            <w:vAlign w:val="center"/>
          </w:tcPr>
          <w:p w:rsidR="003D22EB" w:rsidRPr="003A2A41"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D22EB" w:rsidRPr="003A2A41"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55" w:type="dxa"/>
            <w:tcBorders>
              <w:top w:val="single" w:sz="12" w:space="0" w:color="F0EBE1"/>
              <w:bottom w:val="nil"/>
              <w:right w:val="nil"/>
            </w:tcBorders>
            <w:shd w:val="clear" w:color="auto" w:fill="FFFFFF"/>
            <w:vAlign w:val="center"/>
          </w:tcPr>
          <w:p w:rsidR="003D22EB" w:rsidRPr="003A2A41"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rsidR="003D22EB" w:rsidRPr="003A2A41"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30" w:type="dxa"/>
            <w:tcBorders>
              <w:top w:val="single" w:sz="12" w:space="0" w:color="F0EBE1"/>
              <w:left w:val="nil"/>
              <w:bottom w:val="nil"/>
              <w:right w:val="nil"/>
            </w:tcBorders>
            <w:shd w:val="clear" w:color="auto" w:fill="FFFFFF"/>
            <w:vAlign w:val="center"/>
          </w:tcPr>
          <w:p w:rsidR="003D22EB" w:rsidRPr="00156567" w:rsidRDefault="003D22EB" w:rsidP="00B47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3E4730C3" wp14:editId="4C267F0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D22EB" w:rsidRDefault="00214BC6" w:rsidP="003D22EB">
      <w:pPr>
        <w:rPr>
          <w:sz w:val="2"/>
          <w:szCs w:val="2"/>
        </w:rPr>
      </w:pPr>
    </w:p>
    <w:sectPr w:rsidR="00214BC6" w:rsidRPr="003D22EB"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2CF" w:rsidRDefault="00BF42CF" w:rsidP="00546556">
      <w:r>
        <w:separator/>
      </w:r>
    </w:p>
  </w:endnote>
  <w:endnote w:type="continuationSeparator" w:id="0">
    <w:p w:rsidR="00BF42CF" w:rsidRDefault="00BF42C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2CF" w:rsidRDefault="00BF42CF" w:rsidP="00546556">
      <w:r>
        <w:separator/>
      </w:r>
    </w:p>
  </w:footnote>
  <w:footnote w:type="continuationSeparator" w:id="0">
    <w:p w:rsidR="00BF42CF" w:rsidRDefault="00BF42C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j6oXQm2m1bddb7Ug7yFoXb+xUv6rbpIxjQVou+UXReiNUm+MNcNDsUdjliTFYuzMekiXzX5+c8ywoFwJ8t/xIg==" w:salt="hx0htMPB8fX5feH/T6G2l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4674"/>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22EB"/>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2CF"/>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98/"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rofectional.com/presenters/idl000014153/" TargetMode="External"/><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164/"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37595-5EEB-4056-AA8A-DD0DE2AD3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CPD Course: Leave and Standing in Judicial Review</vt:lpstr>
    </vt:vector>
  </TitlesOfParts>
  <Manager>Tyrone Tsang</Manager>
  <Company>The Profectional Company Limited</Company>
  <LinksUpToDate>false</LinksUpToDate>
  <CharactersWithSpaces>3392</CharactersWithSpaces>
  <SharedDoc>false</SharedDoc>
  <HyperlinkBase>http://download.profectional.com/events/EVT000000164.docx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Conducting Investigations While Following Data Privacy Laws: The Great Convergence</dc:title>
  <dc:subject>CPD Course: Conducting Investigations While Following Data Privacy Laws: The Great Convergence</dc:subject>
  <dc:creator>The Profectional Company Limited</dc:creator>
  <cp:keywords>Profectional; Kornerstone; CPD; CPT; CLE; CE; RME; Dmitri Hubbard; Regional Vice President; Asia-Pacific; Consulting &amp; Analytics; Xerox Services</cp:keywords>
  <cp:lastModifiedBy>Tyrone Tsang</cp:lastModifiedBy>
  <cp:revision>36</cp:revision>
  <cp:lastPrinted>2017-08-14T15:31:00Z</cp:lastPrinted>
  <dcterms:created xsi:type="dcterms:W3CDTF">2015-08-21T08:33:00Z</dcterms:created>
  <dcterms:modified xsi:type="dcterms:W3CDTF">2017-08-14T15:31:00Z</dcterms:modified>
</cp:coreProperties>
</file>