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41B" w:rsidRPr="00BF441B" w:rsidRDefault="00BF441B" w:rsidP="00BF441B">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BF441B" w:rsidRPr="00523A64" w:rsidTr="00D81BE8">
        <w:trPr>
          <w:trHeight w:val="3119"/>
          <w:jc w:val="center"/>
        </w:trPr>
        <w:tc>
          <w:tcPr>
            <w:tcW w:w="4820" w:type="dxa"/>
            <w:shd w:val="clear" w:color="auto" w:fill="FFFFFF"/>
            <w:vAlign w:val="center"/>
          </w:tcPr>
          <w:p w:rsidR="00BF441B" w:rsidRPr="001A3018" w:rsidRDefault="00BF441B" w:rsidP="00D81BE8">
            <w:pPr>
              <w:jc w:val="center"/>
              <w:rPr>
                <w:rFonts w:ascii="Arial" w:hAnsi="Arial" w:cs="Arial"/>
                <w:b/>
                <w:bCs/>
                <w:color w:val="524B48"/>
                <w:sz w:val="4"/>
                <w:szCs w:val="4"/>
              </w:rPr>
            </w:pPr>
          </w:p>
          <w:p w:rsidR="00BF441B" w:rsidRDefault="00BF441B" w:rsidP="00D81BE8">
            <w:pPr>
              <w:jc w:val="center"/>
              <w:rPr>
                <w:rStyle w:val="Hyperlink"/>
                <w:rFonts w:ascii="Arial" w:hAnsi="Arial" w:cs="Arial"/>
                <w:b/>
                <w:bCs/>
                <w:color w:val="524B48"/>
                <w:sz w:val="32"/>
                <w:szCs w:val="32"/>
                <w:u w:val="none"/>
              </w:rPr>
            </w:pPr>
            <w:r w:rsidRPr="00CF685C">
              <w:fldChar w:fldCharType="begin"/>
            </w:r>
            <w:r>
              <w:instrText>HYPERLINK "http://cpd.hk/evt000000165/"</w:instrText>
            </w:r>
            <w:r w:rsidRPr="00CF685C">
              <w:fldChar w:fldCharType="separate"/>
            </w:r>
            <w:r>
              <w:rPr>
                <w:rStyle w:val="Hyperlink"/>
                <w:rFonts w:ascii="Arial" w:hAnsi="Arial" w:cs="Arial"/>
                <w:b/>
                <w:bCs/>
                <w:color w:val="524B48"/>
                <w:sz w:val="32"/>
                <w:szCs w:val="32"/>
                <w:u w:val="none"/>
              </w:rPr>
              <w:t>Misrepresentation</w:t>
            </w:r>
          </w:p>
          <w:p w:rsidR="00BF441B" w:rsidRPr="00201C2D" w:rsidRDefault="00BF441B" w:rsidP="00D81BE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Remedies</w:t>
            </w:r>
          </w:p>
          <w:p w:rsidR="00BF441B" w:rsidRDefault="00BF441B" w:rsidP="00D81BE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Hong Kong</w:t>
            </w:r>
          </w:p>
          <w:p w:rsidR="00BF441B" w:rsidRPr="00CF685C" w:rsidRDefault="00BF441B" w:rsidP="00D81BE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Contract Law</w:t>
            </w:r>
          </w:p>
          <w:p w:rsidR="00BF441B" w:rsidRPr="00C65AFD" w:rsidRDefault="00BF441B" w:rsidP="00D81BE8">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BF441B" w:rsidRPr="00C65AFD" w:rsidRDefault="00BF441B" w:rsidP="00D81BE8">
            <w:pPr>
              <w:jc w:val="center"/>
              <w:rPr>
                <w:rFonts w:ascii="Arial" w:hAnsi="Arial" w:cs="Arial"/>
                <w:i/>
                <w:color w:val="6C6361"/>
                <w:sz w:val="24"/>
                <w:szCs w:val="24"/>
              </w:rPr>
            </w:pPr>
            <w:r w:rsidRPr="00C65AFD">
              <w:rPr>
                <w:rFonts w:ascii="Arial" w:hAnsi="Arial" w:cs="Arial"/>
                <w:i/>
                <w:color w:val="6C6361"/>
                <w:sz w:val="24"/>
                <w:szCs w:val="24"/>
              </w:rPr>
              <w:t>by</w:t>
            </w:r>
          </w:p>
          <w:p w:rsidR="00BF441B" w:rsidRPr="00A35F54" w:rsidRDefault="00BF441B" w:rsidP="00D81BE8">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Stephen Hall</w:t>
              </w:r>
            </w:hyperlink>
            <w:r w:rsidRPr="00A35F54">
              <w:rPr>
                <w:rFonts w:ascii="Arial" w:hAnsi="Arial" w:cs="Arial"/>
                <w:color w:val="6C6361"/>
                <w:sz w:val="24"/>
                <w:szCs w:val="24"/>
              </w:rPr>
              <w:t>,</w:t>
            </w:r>
          </w:p>
          <w:p w:rsidR="00BF441B" w:rsidRDefault="00BF441B" w:rsidP="00D81BE8">
            <w:pPr>
              <w:jc w:val="center"/>
              <w:rPr>
                <w:rFonts w:ascii="Arial" w:hAnsi="Arial" w:cs="Arial"/>
                <w:color w:val="6C6361"/>
                <w:sz w:val="24"/>
                <w:szCs w:val="24"/>
              </w:rPr>
            </w:pPr>
            <w:r>
              <w:rPr>
                <w:rFonts w:ascii="Arial" w:hAnsi="Arial" w:cs="Arial"/>
                <w:color w:val="6C6361"/>
                <w:sz w:val="24"/>
                <w:szCs w:val="24"/>
              </w:rPr>
              <w:t>Fellow, C.W. Chu College</w:t>
            </w:r>
          </w:p>
          <w:p w:rsidR="00BF441B" w:rsidRDefault="00BF441B" w:rsidP="00D81BE8">
            <w:pPr>
              <w:jc w:val="center"/>
              <w:rPr>
                <w:rFonts w:ascii="Arial" w:hAnsi="Arial" w:cs="Arial"/>
                <w:color w:val="6C6361"/>
                <w:sz w:val="24"/>
                <w:szCs w:val="24"/>
              </w:rPr>
            </w:pPr>
            <w:r>
              <w:rPr>
                <w:rFonts w:ascii="Arial" w:hAnsi="Arial" w:cs="Arial"/>
                <w:color w:val="6C6361"/>
                <w:sz w:val="24"/>
                <w:szCs w:val="24"/>
              </w:rPr>
              <w:t>The Chinese University of Hong Kong</w:t>
            </w:r>
          </w:p>
          <w:p w:rsidR="00BF441B" w:rsidRPr="00D87ECF" w:rsidRDefault="00BF441B" w:rsidP="00D81BE8">
            <w:pPr>
              <w:jc w:val="center"/>
              <w:rPr>
                <w:rFonts w:ascii="Arial" w:hAnsi="Arial" w:cs="Arial"/>
                <w:color w:val="6C6361"/>
                <w:sz w:val="8"/>
                <w:szCs w:val="8"/>
              </w:rPr>
            </w:pPr>
          </w:p>
        </w:tc>
        <w:tc>
          <w:tcPr>
            <w:tcW w:w="5954" w:type="dxa"/>
            <w:shd w:val="clear" w:color="auto" w:fill="FFFFFF"/>
            <w:vAlign w:val="center"/>
          </w:tcPr>
          <w:p w:rsidR="00BF441B" w:rsidRPr="00D50772" w:rsidRDefault="00BF441B" w:rsidP="00D81BE8">
            <w:pPr>
              <w:spacing w:line="276" w:lineRule="auto"/>
              <w:jc w:val="center"/>
              <w:rPr>
                <w:rFonts w:ascii="Arial" w:eastAsia="Times New Roman" w:hAnsi="Arial" w:cs="Arial"/>
                <w:noProof/>
                <w:sz w:val="20"/>
                <w:szCs w:val="20"/>
              </w:rPr>
            </w:pPr>
            <w:r w:rsidRPr="009B30B7">
              <w:rPr>
                <w:rStyle w:val="Hyperlink"/>
                <w:rFonts w:ascii="Arial" w:hAnsi="Arial" w:cs="Arial"/>
                <w:b/>
                <w:bCs/>
                <w:noProof/>
                <w:color w:val="524B48"/>
                <w:sz w:val="32"/>
                <w:szCs w:val="32"/>
                <w:u w:val="none"/>
                <w:lang w:val="en-HK"/>
              </w:rPr>
              <w:drawing>
                <wp:anchor distT="0" distB="0" distL="114300" distR="114300" simplePos="0" relativeHeight="251659264" behindDoc="0" locked="0" layoutInCell="1" allowOverlap="1" wp14:anchorId="7EF90EFE" wp14:editId="33C119F7">
                  <wp:simplePos x="0" y="0"/>
                  <wp:positionH relativeFrom="column">
                    <wp:posOffset>3175000</wp:posOffset>
                  </wp:positionH>
                  <wp:positionV relativeFrom="paragraph">
                    <wp:posOffset>-58420</wp:posOffset>
                  </wp:positionV>
                  <wp:extent cx="53975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lang w:val="en-HK"/>
              </w:rPr>
              <w:drawing>
                <wp:inline distT="0" distB="0" distL="0" distR="0" wp14:anchorId="120DDD98" wp14:editId="38FAC0EC">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BF441B" w:rsidRPr="00913494" w:rsidRDefault="00BF441B" w:rsidP="00BF441B">
      <w:pPr>
        <w:spacing w:line="276" w:lineRule="auto"/>
        <w:jc w:val="left"/>
        <w:rPr>
          <w:rFonts w:ascii="Arial" w:hAnsi="Arial" w:cs="Arial"/>
          <w:sz w:val="16"/>
          <w:szCs w:val="16"/>
        </w:rPr>
      </w:pPr>
    </w:p>
    <w:tbl>
      <w:tblPr>
        <w:tblW w:w="10773" w:type="dxa"/>
        <w:jc w:val="center"/>
        <w:tblLook w:val="04A0" w:firstRow="1" w:lastRow="0" w:firstColumn="1" w:lastColumn="0" w:noHBand="0" w:noVBand="1"/>
      </w:tblPr>
      <w:tblGrid>
        <w:gridCol w:w="1985"/>
        <w:gridCol w:w="8788"/>
      </w:tblGrid>
      <w:tr w:rsidR="00BF441B" w:rsidRPr="00111AE3" w:rsidTr="00D81BE8">
        <w:trPr>
          <w:trHeight w:val="2982"/>
          <w:jc w:val="center"/>
        </w:trPr>
        <w:tc>
          <w:tcPr>
            <w:tcW w:w="1985" w:type="dxa"/>
            <w:shd w:val="clear" w:color="auto" w:fill="FFFFFF"/>
            <w:vAlign w:val="center"/>
          </w:tcPr>
          <w:p w:rsidR="00BF441B" w:rsidRPr="00111AE3" w:rsidRDefault="00BF441B" w:rsidP="00D81BE8">
            <w:pPr>
              <w:spacing w:line="276" w:lineRule="auto"/>
              <w:jc w:val="center"/>
              <w:rPr>
                <w:rFonts w:ascii="Arial" w:hAnsi="Arial" w:cs="Arial"/>
                <w:sz w:val="21"/>
                <w:szCs w:val="21"/>
              </w:rPr>
            </w:pPr>
            <w:r w:rsidRPr="00111AE3">
              <w:rPr>
                <w:rFonts w:ascii="Arial" w:hAnsi="Arial" w:cs="Arial"/>
                <w:noProof/>
                <w:sz w:val="21"/>
                <w:szCs w:val="21"/>
                <w:lang w:val="en-HK"/>
              </w:rPr>
              <w:drawing>
                <wp:inline distT="0" distB="0" distL="0" distR="0" wp14:anchorId="06C7FA20" wp14:editId="40D34FAD">
                  <wp:extent cx="1079997" cy="1439997"/>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7"/>
                          </a:xfrm>
                          <a:prstGeom prst="rect">
                            <a:avLst/>
                          </a:prstGeom>
                        </pic:spPr>
                      </pic:pic>
                    </a:graphicData>
                  </a:graphic>
                </wp:inline>
              </w:drawing>
            </w:r>
          </w:p>
        </w:tc>
        <w:tc>
          <w:tcPr>
            <w:tcW w:w="8788" w:type="dxa"/>
            <w:shd w:val="clear" w:color="auto" w:fill="FFFFFF"/>
            <w:vAlign w:val="center"/>
          </w:tcPr>
          <w:p w:rsidR="00BF441B" w:rsidRPr="00913494" w:rsidRDefault="00BF441B" w:rsidP="00D81BE8">
            <w:pPr>
              <w:pStyle w:val="NormalWeb"/>
              <w:rPr>
                <w:rFonts w:ascii="Arial" w:hAnsi="Arial" w:cs="Arial"/>
                <w:color w:val="6C6361"/>
                <w:sz w:val="20"/>
                <w:szCs w:val="20"/>
              </w:rPr>
            </w:pPr>
            <w:r w:rsidRPr="00913494">
              <w:rPr>
                <w:rFonts w:ascii="Arial" w:hAnsi="Arial" w:cs="Arial"/>
                <w:color w:val="6C6361"/>
                <w:sz w:val="20"/>
                <w:szCs w:val="20"/>
              </w:rPr>
              <w:t>Dr. Stephen Hall is a legal scholar in Hong Kong who has fifteen years’ experience teaching Hong Kong contract law at both The Chinese University of Hong Kong (CUHK) and City University of Hong Kong (</w:t>
            </w:r>
            <w:proofErr w:type="spellStart"/>
            <w:r w:rsidRPr="00913494">
              <w:rPr>
                <w:rFonts w:ascii="Arial" w:hAnsi="Arial" w:cs="Arial"/>
                <w:color w:val="6C6361"/>
                <w:sz w:val="20"/>
                <w:szCs w:val="20"/>
              </w:rPr>
              <w:t>CityU</w:t>
            </w:r>
            <w:proofErr w:type="spellEnd"/>
            <w:r w:rsidRPr="00913494">
              <w:rPr>
                <w:rFonts w:ascii="Arial" w:hAnsi="Arial" w:cs="Arial"/>
                <w:color w:val="6C6361"/>
                <w:sz w:val="20"/>
                <w:szCs w:val="20"/>
              </w:rPr>
              <w:t xml:space="preserve">).  He has received numerous awards for teaching and research.  Among his publications are </w:t>
            </w:r>
            <w:r w:rsidRPr="00913494">
              <w:rPr>
                <w:rFonts w:ascii="Arial" w:hAnsi="Arial" w:cs="Arial"/>
                <w:i/>
                <w:color w:val="6C6361"/>
                <w:sz w:val="20"/>
                <w:szCs w:val="20"/>
              </w:rPr>
              <w:t>Law of Contract in Hong Kong: Cases and Commentary</w:t>
            </w:r>
            <w:r w:rsidRPr="00913494">
              <w:rPr>
                <w:rFonts w:ascii="Arial" w:hAnsi="Arial" w:cs="Arial"/>
                <w:color w:val="6C6361"/>
                <w:sz w:val="20"/>
                <w:szCs w:val="20"/>
              </w:rPr>
              <w:t xml:space="preserve"> (4th ed., LexisNexis, 2015), </w:t>
            </w:r>
            <w:r w:rsidRPr="00913494">
              <w:rPr>
                <w:rFonts w:ascii="Arial" w:hAnsi="Arial" w:cs="Arial"/>
                <w:i/>
                <w:color w:val="6C6361"/>
                <w:sz w:val="20"/>
                <w:szCs w:val="20"/>
              </w:rPr>
              <w:t>Ho and Hall’s Hong Kong Contract Law</w:t>
            </w:r>
            <w:r w:rsidRPr="00913494">
              <w:rPr>
                <w:rFonts w:ascii="Arial" w:hAnsi="Arial" w:cs="Arial"/>
                <w:color w:val="6C6361"/>
                <w:sz w:val="20"/>
                <w:szCs w:val="20"/>
              </w:rPr>
              <w:t xml:space="preserve"> (3rd ed., LexisNexis, 2013), and the ‘Contract’ title in Volume 18 of </w:t>
            </w:r>
            <w:r w:rsidRPr="00913494">
              <w:rPr>
                <w:rFonts w:ascii="Arial" w:hAnsi="Arial" w:cs="Arial"/>
                <w:i/>
                <w:color w:val="6C6361"/>
                <w:sz w:val="20"/>
                <w:szCs w:val="20"/>
              </w:rPr>
              <w:t>Halsbury’s Laws of Hong Kong</w:t>
            </w:r>
            <w:r w:rsidRPr="00913494">
              <w:rPr>
                <w:rFonts w:ascii="Arial" w:hAnsi="Arial" w:cs="Arial"/>
                <w:color w:val="6C6361"/>
                <w:sz w:val="20"/>
                <w:szCs w:val="20"/>
              </w:rPr>
              <w:t xml:space="preserve"> (2nd ed., LexisNexis, 2012 and 2015 reissues).  Dr. Hall founded the Juris Doctor </w:t>
            </w:r>
            <w:proofErr w:type="spellStart"/>
            <w:r w:rsidRPr="00913494">
              <w:rPr>
                <w:rFonts w:ascii="Arial" w:hAnsi="Arial" w:cs="Arial"/>
                <w:color w:val="6C6361"/>
                <w:sz w:val="20"/>
                <w:szCs w:val="20"/>
              </w:rPr>
              <w:t>programmes</w:t>
            </w:r>
            <w:proofErr w:type="spellEnd"/>
            <w:r w:rsidRPr="00913494">
              <w:rPr>
                <w:rFonts w:ascii="Arial" w:hAnsi="Arial" w:cs="Arial"/>
                <w:color w:val="6C6361"/>
                <w:sz w:val="20"/>
                <w:szCs w:val="20"/>
              </w:rPr>
              <w:t xml:space="preserve"> at both CUHK and </w:t>
            </w:r>
            <w:proofErr w:type="spellStart"/>
            <w:r w:rsidRPr="00913494">
              <w:rPr>
                <w:rFonts w:ascii="Arial" w:hAnsi="Arial" w:cs="Arial"/>
                <w:color w:val="6C6361"/>
                <w:sz w:val="20"/>
                <w:szCs w:val="20"/>
              </w:rPr>
              <w:t>CityU</w:t>
            </w:r>
            <w:proofErr w:type="spellEnd"/>
            <w:r w:rsidRPr="00913494">
              <w:rPr>
                <w:rFonts w:ascii="Arial" w:hAnsi="Arial" w:cs="Arial"/>
                <w:color w:val="6C6361"/>
                <w:sz w:val="20"/>
                <w:szCs w:val="20"/>
              </w:rPr>
              <w:t xml:space="preserve">.  Prior to arriving in Hong Kong, he taught for six years at the University of New South Wales after a decade in legal practice with the Australian Attorney-General’s Department.  Dr. Hall received his Bachelor of Laws degree at the University of Queensland, a Master of Laws degree with first class </w:t>
            </w:r>
            <w:proofErr w:type="spellStart"/>
            <w:r w:rsidRPr="00913494">
              <w:rPr>
                <w:rFonts w:ascii="Arial" w:hAnsi="Arial" w:cs="Arial"/>
                <w:color w:val="6C6361"/>
                <w:sz w:val="20"/>
                <w:szCs w:val="20"/>
              </w:rPr>
              <w:t>honours</w:t>
            </w:r>
            <w:proofErr w:type="spellEnd"/>
            <w:r w:rsidRPr="00913494">
              <w:rPr>
                <w:rFonts w:ascii="Arial" w:hAnsi="Arial" w:cs="Arial"/>
                <w:color w:val="6C6361"/>
                <w:sz w:val="20"/>
                <w:szCs w:val="20"/>
              </w:rPr>
              <w:t xml:space="preserve"> at the University of Technology Sydney, and a Doctor of Philosophy degree as a Commonwealth Scholar at the University of Oxford (Oriel College).</w:t>
            </w:r>
          </w:p>
        </w:tc>
      </w:tr>
    </w:tbl>
    <w:p w:rsidR="00BF441B" w:rsidRPr="00913494" w:rsidRDefault="00BF441B" w:rsidP="00BF441B">
      <w:pPr>
        <w:spacing w:line="276" w:lineRule="auto"/>
        <w:jc w:val="left"/>
        <w:rPr>
          <w:rFonts w:ascii="Arial" w:hAnsi="Arial" w:cs="Arial"/>
          <w:sz w:val="16"/>
          <w:szCs w:val="18"/>
        </w:rPr>
      </w:pPr>
    </w:p>
    <w:tbl>
      <w:tblPr>
        <w:tblW w:w="10773" w:type="dxa"/>
        <w:jc w:val="center"/>
        <w:tblBorders>
          <w:bottom w:val="single" w:sz="12" w:space="0" w:color="FFFFFF"/>
        </w:tblBorders>
        <w:tblLook w:val="04A0" w:firstRow="1" w:lastRow="0" w:firstColumn="1" w:lastColumn="0" w:noHBand="0" w:noVBand="1"/>
      </w:tblPr>
      <w:tblGrid>
        <w:gridCol w:w="9057"/>
        <w:gridCol w:w="1716"/>
      </w:tblGrid>
      <w:tr w:rsidR="00BF441B" w:rsidRPr="00913494" w:rsidTr="00D81BE8">
        <w:trPr>
          <w:trHeight w:val="1928"/>
          <w:jc w:val="center"/>
        </w:trPr>
        <w:tc>
          <w:tcPr>
            <w:tcW w:w="10773" w:type="dxa"/>
            <w:gridSpan w:val="2"/>
            <w:tcBorders>
              <w:top w:val="nil"/>
              <w:bottom w:val="nil"/>
            </w:tcBorders>
            <w:shd w:val="clear" w:color="auto" w:fill="FFFFFF" w:themeFill="background1"/>
            <w:vAlign w:val="center"/>
          </w:tcPr>
          <w:p w:rsidR="00BF441B" w:rsidRDefault="00BF441B" w:rsidP="00D81BE8">
            <w:pPr>
              <w:ind w:right="33"/>
              <w:rPr>
                <w:rFonts w:ascii="Arial" w:hAnsi="Arial" w:cs="Arial"/>
                <w:color w:val="6C6361"/>
                <w:sz w:val="20"/>
                <w:szCs w:val="24"/>
              </w:rPr>
            </w:pPr>
            <w:r w:rsidRPr="00913494">
              <w:rPr>
                <w:rFonts w:ascii="Arial" w:hAnsi="Arial" w:cs="Arial"/>
                <w:color w:val="6C6361"/>
                <w:sz w:val="20"/>
                <w:szCs w:val="24"/>
              </w:rPr>
              <w:t xml:space="preserve">Among the least appreciated, and sometimes surprising, aspects of the common law of contract in Hong Kong are the rules and principles governing false or inaccurate pre-contractual statements. </w:t>
            </w:r>
            <w:r>
              <w:rPr>
                <w:rFonts w:ascii="Arial" w:hAnsi="Arial" w:cs="Arial"/>
                <w:color w:val="6C6361"/>
                <w:sz w:val="20"/>
                <w:szCs w:val="24"/>
              </w:rPr>
              <w:t xml:space="preserve"> </w:t>
            </w:r>
            <w:r w:rsidRPr="00913494">
              <w:rPr>
                <w:rFonts w:ascii="Arial" w:hAnsi="Arial" w:cs="Arial"/>
                <w:color w:val="6C6361"/>
                <w:sz w:val="20"/>
                <w:szCs w:val="24"/>
              </w:rPr>
              <w:t xml:space="preserve">Misrepresentations are often made in the course of negotiating a contract, and can result in rescission of the entire contract and/or a claim for statutory or common </w:t>
            </w:r>
            <w:r>
              <w:rPr>
                <w:rFonts w:ascii="Arial" w:hAnsi="Arial" w:cs="Arial"/>
                <w:color w:val="6C6361"/>
                <w:sz w:val="20"/>
                <w:szCs w:val="24"/>
              </w:rPr>
              <w:t xml:space="preserve">law damages by the </w:t>
            </w:r>
            <w:proofErr w:type="spellStart"/>
            <w:r>
              <w:rPr>
                <w:rFonts w:ascii="Arial" w:hAnsi="Arial" w:cs="Arial"/>
                <w:color w:val="6C6361"/>
                <w:sz w:val="20"/>
                <w:szCs w:val="24"/>
              </w:rPr>
              <w:t>representee</w:t>
            </w:r>
            <w:proofErr w:type="spellEnd"/>
            <w:r>
              <w:rPr>
                <w:rFonts w:ascii="Arial" w:hAnsi="Arial" w:cs="Arial"/>
                <w:color w:val="6C6361"/>
                <w:sz w:val="20"/>
                <w:szCs w:val="24"/>
              </w:rPr>
              <w:t>.</w:t>
            </w:r>
          </w:p>
          <w:p w:rsidR="00BF441B" w:rsidRPr="00913494" w:rsidRDefault="00BF441B" w:rsidP="00D81BE8">
            <w:pPr>
              <w:ind w:right="33"/>
              <w:rPr>
                <w:rFonts w:ascii="Arial" w:hAnsi="Arial" w:cs="Arial"/>
                <w:color w:val="6C6361"/>
                <w:sz w:val="10"/>
                <w:szCs w:val="10"/>
              </w:rPr>
            </w:pPr>
          </w:p>
          <w:p w:rsidR="00BF441B" w:rsidRPr="00913494" w:rsidRDefault="00BF441B" w:rsidP="00D81BE8">
            <w:pPr>
              <w:ind w:right="33"/>
              <w:rPr>
                <w:rFonts w:ascii="Arial" w:hAnsi="Arial" w:cs="Arial"/>
                <w:color w:val="6C6361"/>
                <w:sz w:val="20"/>
                <w:szCs w:val="24"/>
              </w:rPr>
            </w:pPr>
            <w:r w:rsidRPr="00913494">
              <w:rPr>
                <w:rFonts w:ascii="Arial" w:hAnsi="Arial" w:cs="Arial"/>
                <w:color w:val="6C6361"/>
                <w:sz w:val="20"/>
                <w:szCs w:val="24"/>
              </w:rPr>
              <w:t>This course will examine: the common law principles by which misrepresentations may be identified, how misrepresentations may be distinguished from other statements or communications such as contractual terms or mere puffs, and statutory and common law remedies for fraudulent, negligent and innocent misrepresentation.</w:t>
            </w:r>
          </w:p>
        </w:tc>
      </w:tr>
      <w:tr w:rsidR="00BF441B" w:rsidRPr="00913494" w:rsidTr="00D81BE8">
        <w:trPr>
          <w:trHeight w:val="397"/>
          <w:jc w:val="center"/>
        </w:trPr>
        <w:tc>
          <w:tcPr>
            <w:tcW w:w="10773" w:type="dxa"/>
            <w:gridSpan w:val="2"/>
            <w:tcBorders>
              <w:top w:val="nil"/>
              <w:bottom w:val="nil"/>
            </w:tcBorders>
            <w:shd w:val="clear" w:color="auto" w:fill="F0EBE1"/>
            <w:vAlign w:val="center"/>
          </w:tcPr>
          <w:p w:rsidR="00BF441B" w:rsidRPr="00913494" w:rsidRDefault="00BF441B" w:rsidP="00D81BE8">
            <w:pPr>
              <w:rPr>
                <w:rFonts w:ascii="Arial" w:hAnsi="Arial" w:cs="Arial"/>
                <w:b/>
                <w:color w:val="524B48"/>
                <w:sz w:val="20"/>
                <w:szCs w:val="24"/>
              </w:rPr>
            </w:pPr>
            <w:r w:rsidRPr="00913494">
              <w:rPr>
                <w:rFonts w:ascii="Arial" w:hAnsi="Arial" w:cs="Arial"/>
                <w:b/>
                <w:color w:val="524B48"/>
                <w:sz w:val="20"/>
                <w:szCs w:val="24"/>
              </w:rPr>
              <w:t>This course will cover the followings:</w:t>
            </w:r>
            <w:r w:rsidRPr="00913494">
              <w:rPr>
                <w:rFonts w:ascii="Arial" w:hAnsi="Arial" w:cs="Arial"/>
                <w:noProof/>
                <w:color w:val="6C6361"/>
                <w:sz w:val="20"/>
                <w:szCs w:val="24"/>
              </w:rPr>
              <w:t xml:space="preserve"> </w:t>
            </w:r>
          </w:p>
        </w:tc>
      </w:tr>
      <w:tr w:rsidR="00BF441B" w:rsidRPr="00913494" w:rsidTr="00D81BE8">
        <w:trPr>
          <w:trHeight w:val="2250"/>
          <w:jc w:val="center"/>
        </w:trPr>
        <w:tc>
          <w:tcPr>
            <w:tcW w:w="9057" w:type="dxa"/>
            <w:tcBorders>
              <w:top w:val="nil"/>
              <w:bottom w:val="nil"/>
              <w:right w:val="nil"/>
            </w:tcBorders>
            <w:shd w:val="clear" w:color="auto" w:fill="FFFFFF"/>
            <w:vAlign w:val="center"/>
          </w:tcPr>
          <w:p w:rsidR="00BF441B" w:rsidRPr="00913494" w:rsidRDefault="00BF441B" w:rsidP="00D81BE8">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Introduction to Misrepresentation</w:t>
            </w:r>
          </w:p>
          <w:p w:rsidR="00BF441B" w:rsidRPr="00913494" w:rsidRDefault="00BF441B" w:rsidP="00D81BE8">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 xml:space="preserve">False statements of fact </w:t>
            </w:r>
            <w:r>
              <w:rPr>
                <w:rFonts w:ascii="Arial" w:hAnsi="Arial" w:cs="Arial"/>
                <w:color w:val="6C6361"/>
                <w:sz w:val="20"/>
                <w:szCs w:val="24"/>
              </w:rPr>
              <w:t>-</w:t>
            </w:r>
            <w:r w:rsidRPr="00913494">
              <w:rPr>
                <w:rFonts w:ascii="Arial" w:hAnsi="Arial" w:cs="Arial"/>
                <w:color w:val="6C6361"/>
                <w:sz w:val="20"/>
                <w:szCs w:val="24"/>
              </w:rPr>
              <w:t xml:space="preserve"> opinion, forecast and future intentions</w:t>
            </w:r>
          </w:p>
          <w:p w:rsidR="00BF441B" w:rsidRPr="00913494" w:rsidRDefault="00BF441B" w:rsidP="00D81BE8">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Misrepresentation by conduct</w:t>
            </w:r>
          </w:p>
          <w:p w:rsidR="00BF441B" w:rsidRPr="00913494" w:rsidRDefault="00BF441B" w:rsidP="00D81BE8">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Misrepresentation by silence</w:t>
            </w:r>
          </w:p>
          <w:p w:rsidR="00BF441B" w:rsidRPr="00913494" w:rsidRDefault="00BF441B" w:rsidP="00D81BE8">
            <w:pPr>
              <w:pStyle w:val="ListParagraph"/>
              <w:numPr>
                <w:ilvl w:val="0"/>
                <w:numId w:val="2"/>
              </w:numPr>
              <w:ind w:right="-108"/>
              <w:rPr>
                <w:rFonts w:ascii="Arial" w:hAnsi="Arial" w:cs="Arial"/>
                <w:color w:val="6C6361"/>
                <w:sz w:val="20"/>
                <w:szCs w:val="24"/>
              </w:rPr>
            </w:pPr>
            <w:proofErr w:type="spellStart"/>
            <w:r w:rsidRPr="00913494">
              <w:rPr>
                <w:rFonts w:ascii="Arial" w:hAnsi="Arial" w:cs="Arial"/>
                <w:color w:val="6C6361"/>
                <w:sz w:val="20"/>
                <w:szCs w:val="24"/>
              </w:rPr>
              <w:t>Representee’s</w:t>
            </w:r>
            <w:proofErr w:type="spellEnd"/>
            <w:r w:rsidRPr="00913494">
              <w:rPr>
                <w:rFonts w:ascii="Arial" w:hAnsi="Arial" w:cs="Arial"/>
                <w:color w:val="6C6361"/>
                <w:sz w:val="20"/>
                <w:szCs w:val="24"/>
              </w:rPr>
              <w:t xml:space="preserve"> failure to verify</w:t>
            </w:r>
          </w:p>
          <w:p w:rsidR="00BF441B" w:rsidRPr="00913494" w:rsidRDefault="00BF441B" w:rsidP="00D81BE8">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Multiple inducements to conclude contract</w:t>
            </w:r>
          </w:p>
          <w:p w:rsidR="00BF441B" w:rsidRPr="00913494" w:rsidRDefault="00BF441B" w:rsidP="00D81BE8">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Rescission</w:t>
            </w:r>
          </w:p>
          <w:p w:rsidR="00BF441B" w:rsidRPr="00913494" w:rsidRDefault="00BF441B" w:rsidP="00D81BE8">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Common law damages</w:t>
            </w:r>
          </w:p>
          <w:p w:rsidR="00BF441B" w:rsidRPr="00913494" w:rsidRDefault="00BF441B" w:rsidP="00D81BE8">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Misrepresentation Ordinance</w:t>
            </w:r>
            <w:r>
              <w:rPr>
                <w:rFonts w:ascii="Arial" w:hAnsi="Arial" w:cs="Arial"/>
                <w:color w:val="6C6361"/>
                <w:sz w:val="20"/>
                <w:szCs w:val="24"/>
              </w:rPr>
              <w:t xml:space="preserve"> (Cap.284)</w:t>
            </w:r>
          </w:p>
        </w:tc>
        <w:tc>
          <w:tcPr>
            <w:tcW w:w="1716" w:type="dxa"/>
            <w:tcBorders>
              <w:top w:val="nil"/>
              <w:left w:val="nil"/>
              <w:bottom w:val="nil"/>
            </w:tcBorders>
            <w:shd w:val="clear" w:color="auto" w:fill="FFFFFF"/>
            <w:vAlign w:val="center"/>
          </w:tcPr>
          <w:p w:rsidR="00BF441B" w:rsidRDefault="00BF441B" w:rsidP="00D81BE8">
            <w:pPr>
              <w:jc w:val="center"/>
              <w:rPr>
                <w:rFonts w:ascii="Arial" w:hAnsi="Arial" w:cs="Arial"/>
                <w:color w:val="6C6361"/>
                <w:sz w:val="20"/>
                <w:szCs w:val="24"/>
              </w:rPr>
            </w:pPr>
          </w:p>
          <w:p w:rsidR="00BF441B" w:rsidRPr="00913494" w:rsidRDefault="00BF441B" w:rsidP="00D81BE8">
            <w:pPr>
              <w:jc w:val="center"/>
              <w:rPr>
                <w:rFonts w:ascii="Arial" w:hAnsi="Arial" w:cs="Arial"/>
                <w:color w:val="6C6361"/>
                <w:sz w:val="20"/>
                <w:szCs w:val="24"/>
              </w:rPr>
            </w:pPr>
            <w:r w:rsidRPr="00913494">
              <w:rPr>
                <w:rFonts w:ascii="Arial" w:hAnsi="Arial" w:cs="Arial"/>
                <w:noProof/>
                <w:color w:val="6C6361"/>
                <w:sz w:val="20"/>
                <w:szCs w:val="24"/>
                <w:lang w:val="en-HK"/>
              </w:rPr>
              <w:drawing>
                <wp:inline distT="0" distB="0" distL="0" distR="0" wp14:anchorId="05A48694" wp14:editId="13CB905E">
                  <wp:extent cx="892800" cy="1018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BF441B" w:rsidRPr="00913494" w:rsidRDefault="00BF441B" w:rsidP="00BF441B">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0"/>
        <w:gridCol w:w="2873"/>
        <w:gridCol w:w="794"/>
        <w:gridCol w:w="1700"/>
        <w:gridCol w:w="2476"/>
        <w:gridCol w:w="1239"/>
      </w:tblGrid>
      <w:tr w:rsidR="00BF441B" w:rsidRPr="000762CF" w:rsidTr="00D81BE8">
        <w:trPr>
          <w:trHeight w:val="397"/>
          <w:jc w:val="center"/>
        </w:trPr>
        <w:tc>
          <w:tcPr>
            <w:tcW w:w="1701" w:type="dxa"/>
            <w:tcBorders>
              <w:top w:val="nil"/>
              <w:left w:val="nil"/>
              <w:bottom w:val="single" w:sz="12" w:space="0" w:color="FFFFFF"/>
            </w:tcBorders>
            <w:shd w:val="clear" w:color="auto" w:fill="F0EBE1"/>
            <w:vAlign w:val="center"/>
          </w:tcPr>
          <w:p w:rsidR="00BF441B" w:rsidRPr="000762CF"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BF441B" w:rsidRPr="000762CF"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EVT000000165</w:t>
            </w:r>
          </w:p>
        </w:tc>
        <w:tc>
          <w:tcPr>
            <w:tcW w:w="1701" w:type="dxa"/>
            <w:tcBorders>
              <w:top w:val="nil"/>
              <w:bottom w:val="single" w:sz="12" w:space="0" w:color="FFFFFF"/>
            </w:tcBorders>
            <w:shd w:val="clear" w:color="auto" w:fill="F0EBE1"/>
            <w:vAlign w:val="center"/>
          </w:tcPr>
          <w:p w:rsidR="00BF441B" w:rsidRPr="000762CF"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BF441B" w:rsidRPr="000762CF"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BF441B" w:rsidRPr="000762CF" w:rsidTr="00D81BE8">
        <w:trPr>
          <w:trHeight w:val="397"/>
          <w:jc w:val="center"/>
        </w:trPr>
        <w:tc>
          <w:tcPr>
            <w:tcW w:w="1701" w:type="dxa"/>
            <w:tcBorders>
              <w:top w:val="single" w:sz="12" w:space="0" w:color="FFFFFF"/>
              <w:left w:val="nil"/>
              <w:bottom w:val="single" w:sz="12" w:space="0" w:color="FFFFFF"/>
            </w:tcBorders>
            <w:shd w:val="clear" w:color="auto" w:fill="F0EBE1"/>
            <w:vAlign w:val="center"/>
          </w:tcPr>
          <w:p w:rsidR="00BF441B" w:rsidRPr="000762CF"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BF441B" w:rsidRPr="000762CF"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25 November</w:t>
            </w:r>
            <w:r w:rsidRPr="002432BD">
              <w:rPr>
                <w:rFonts w:ascii="Arial" w:hAnsi="Arial" w:cs="Arial"/>
                <w:b/>
                <w:color w:val="6C6361"/>
                <w:sz w:val="20"/>
                <w:szCs w:val="20"/>
              </w:rPr>
              <w:t xml:space="preserve"> 2016 (</w:t>
            </w:r>
            <w:r>
              <w:rPr>
                <w:rFonts w:ascii="Arial" w:hAnsi="Arial" w:cs="Arial"/>
                <w:b/>
                <w:color w:val="6C6361"/>
                <w:sz w:val="20"/>
                <w:szCs w:val="20"/>
              </w:rPr>
              <w:t>Friday</w:t>
            </w:r>
            <w:r w:rsidRPr="002432BD">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BF441B" w:rsidRPr="000762CF"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BF441B" w:rsidRPr="000762CF"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BF441B" w:rsidRPr="000762CF" w:rsidTr="00D81BE8">
        <w:trPr>
          <w:trHeight w:val="397"/>
          <w:jc w:val="center"/>
        </w:trPr>
        <w:tc>
          <w:tcPr>
            <w:tcW w:w="1701" w:type="dxa"/>
            <w:tcBorders>
              <w:top w:val="single" w:sz="12" w:space="0" w:color="FFFFFF"/>
              <w:left w:val="nil"/>
              <w:bottom w:val="single" w:sz="12" w:space="0" w:color="FFFFFF"/>
            </w:tcBorders>
            <w:shd w:val="clear" w:color="auto" w:fill="F0EBE1"/>
            <w:vAlign w:val="center"/>
          </w:tcPr>
          <w:p w:rsidR="00BF441B" w:rsidRPr="000762CF"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BF441B" w:rsidRPr="000762CF"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BF441B" w:rsidRPr="000762CF"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BF441B" w:rsidRPr="000762CF"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BF441B"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3.0 CPD Points</w:t>
            </w:r>
          </w:p>
          <w:p w:rsidR="00BF441B" w:rsidRPr="00CE1BA8"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CE1BA8">
              <w:rPr>
                <w:rFonts w:ascii="Arial" w:hAnsi="Arial" w:cs="Arial"/>
                <w:color w:val="6C6361"/>
                <w:sz w:val="20"/>
                <w:szCs w:val="20"/>
              </w:rPr>
              <w:t xml:space="preserve">(LSHK Allocated Number: </w:t>
            </w:r>
            <w:r>
              <w:rPr>
                <w:rFonts w:ascii="Arial" w:hAnsi="Arial" w:cs="Arial"/>
                <w:color w:val="6C6361"/>
                <w:sz w:val="20"/>
                <w:szCs w:val="20"/>
              </w:rPr>
              <w:t>20163953</w:t>
            </w:r>
            <w:r w:rsidRPr="00CE1BA8">
              <w:rPr>
                <w:rFonts w:ascii="Arial" w:hAnsi="Arial" w:cs="Arial"/>
                <w:color w:val="6C6361"/>
                <w:sz w:val="20"/>
                <w:szCs w:val="20"/>
              </w:rPr>
              <w:t>)</w:t>
            </w:r>
          </w:p>
        </w:tc>
      </w:tr>
      <w:tr w:rsidR="00BF441B" w:rsidRPr="000762CF" w:rsidTr="00D81BE8">
        <w:trPr>
          <w:trHeight w:val="1247"/>
          <w:jc w:val="center"/>
        </w:trPr>
        <w:tc>
          <w:tcPr>
            <w:tcW w:w="1701" w:type="dxa"/>
            <w:tcBorders>
              <w:top w:val="single" w:sz="12" w:space="0" w:color="FFFFFF"/>
              <w:left w:val="nil"/>
              <w:bottom w:val="nil"/>
            </w:tcBorders>
            <w:shd w:val="clear" w:color="auto" w:fill="F0EBE1"/>
            <w:vAlign w:val="center"/>
          </w:tcPr>
          <w:p w:rsidR="00BF441B" w:rsidRPr="000762CF"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BF441B" w:rsidRPr="000762CF" w:rsidRDefault="00BF441B" w:rsidP="00D81BE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BF441B" w:rsidRPr="000762CF"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 xml:space="preserve">15/F, Hip </w:t>
            </w:r>
            <w:proofErr w:type="spellStart"/>
            <w:r w:rsidRPr="000762CF">
              <w:rPr>
                <w:rStyle w:val="Hyperlink"/>
                <w:rFonts w:ascii="Arial" w:hAnsi="Arial" w:cs="Arial"/>
                <w:color w:val="6C6361"/>
                <w:sz w:val="20"/>
                <w:szCs w:val="20"/>
                <w:u w:val="none"/>
              </w:rPr>
              <w:t>Shing</w:t>
            </w:r>
            <w:proofErr w:type="spellEnd"/>
            <w:r w:rsidRPr="000762CF">
              <w:rPr>
                <w:rStyle w:val="Hyperlink"/>
                <w:rFonts w:ascii="Arial" w:hAnsi="Arial" w:cs="Arial"/>
                <w:color w:val="6C6361"/>
                <w:sz w:val="20"/>
                <w:szCs w:val="20"/>
                <w:u w:val="none"/>
              </w:rPr>
              <w:t xml:space="preserve"> Hong Centre</w:t>
            </w:r>
          </w:p>
          <w:p w:rsidR="00BF441B" w:rsidRPr="000762CF"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 xml:space="preserve">55 Des </w:t>
            </w:r>
            <w:proofErr w:type="spellStart"/>
            <w:r w:rsidRPr="000762CF">
              <w:rPr>
                <w:rStyle w:val="Hyperlink"/>
                <w:rFonts w:ascii="Arial" w:hAnsi="Arial" w:cs="Arial"/>
                <w:color w:val="6C6361"/>
                <w:sz w:val="20"/>
                <w:szCs w:val="20"/>
                <w:u w:val="none"/>
              </w:rPr>
              <w:t>Voeux</w:t>
            </w:r>
            <w:proofErr w:type="spellEnd"/>
            <w:r w:rsidRPr="000762CF">
              <w:rPr>
                <w:rStyle w:val="Hyperlink"/>
                <w:rFonts w:ascii="Arial" w:hAnsi="Arial" w:cs="Arial"/>
                <w:color w:val="6C6361"/>
                <w:sz w:val="20"/>
                <w:szCs w:val="20"/>
                <w:u w:val="none"/>
              </w:rPr>
              <w:t xml:space="preserve"> Road Central</w:t>
            </w:r>
          </w:p>
          <w:p w:rsidR="00BF441B" w:rsidRPr="000762CF"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BF441B" w:rsidRPr="000762CF" w:rsidRDefault="00BF441B" w:rsidP="00D81BE8">
            <w:pPr>
              <w:jc w:val="right"/>
              <w:rPr>
                <w:rFonts w:ascii="Arial" w:hAnsi="Arial" w:cs="Arial"/>
                <w:b/>
                <w:color w:val="6C6361"/>
                <w:sz w:val="20"/>
                <w:szCs w:val="20"/>
              </w:rPr>
            </w:pPr>
          </w:p>
          <w:p w:rsidR="00BF441B" w:rsidRPr="000762CF" w:rsidRDefault="00BF441B" w:rsidP="00D81BE8">
            <w:pPr>
              <w:jc w:val="right"/>
              <w:rPr>
                <w:rFonts w:ascii="Arial" w:hAnsi="Arial" w:cs="Arial"/>
                <w:b/>
                <w:color w:val="6C6361"/>
                <w:sz w:val="20"/>
                <w:szCs w:val="20"/>
              </w:rPr>
            </w:pPr>
          </w:p>
          <w:p w:rsidR="00BF441B" w:rsidRPr="000762CF" w:rsidRDefault="00BF441B" w:rsidP="00D81BE8">
            <w:pPr>
              <w:jc w:val="right"/>
              <w:rPr>
                <w:rFonts w:ascii="Arial" w:hAnsi="Arial" w:cs="Arial"/>
                <w:b/>
                <w:color w:val="6C6361"/>
                <w:sz w:val="20"/>
                <w:szCs w:val="20"/>
              </w:rPr>
            </w:pPr>
            <w:r w:rsidRPr="000762CF">
              <w:rPr>
                <w:rFonts w:ascii="Arial" w:hAnsi="Arial" w:cs="Arial"/>
                <w:b/>
                <w:noProof/>
                <w:color w:val="6C6361"/>
                <w:sz w:val="20"/>
                <w:szCs w:val="20"/>
                <w:lang w:val="en-HK"/>
              </w:rPr>
              <w:drawing>
                <wp:inline distT="0" distB="0" distL="0" distR="0" wp14:anchorId="036E2D42" wp14:editId="34CAFEEA">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BF441B" w:rsidRPr="000762CF" w:rsidRDefault="00BF441B" w:rsidP="00D81BE8">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BF441B" w:rsidRPr="003A2A41"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BF441B" w:rsidRPr="003A2A41"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95" w:type="dxa"/>
            <w:tcBorders>
              <w:top w:val="single" w:sz="12" w:space="0" w:color="F0EBE1"/>
              <w:bottom w:val="nil"/>
              <w:right w:val="nil"/>
            </w:tcBorders>
            <w:shd w:val="clear" w:color="auto" w:fill="FFFFFF"/>
            <w:vAlign w:val="center"/>
          </w:tcPr>
          <w:p w:rsidR="00BF441B" w:rsidRPr="003A2A41"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BF441B" w:rsidRPr="003A2A41"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190" w:type="dxa"/>
            <w:tcBorders>
              <w:top w:val="single" w:sz="12" w:space="0" w:color="F0EBE1"/>
              <w:left w:val="nil"/>
              <w:bottom w:val="nil"/>
              <w:right w:val="nil"/>
            </w:tcBorders>
            <w:shd w:val="clear" w:color="auto" w:fill="FFFFFF"/>
            <w:vAlign w:val="center"/>
          </w:tcPr>
          <w:p w:rsidR="00BF441B" w:rsidRPr="00156567" w:rsidRDefault="00BF441B" w:rsidP="00D8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lang w:val="en-HK"/>
              </w:rPr>
              <w:drawing>
                <wp:inline distT="0" distB="0" distL="0" distR="0" wp14:anchorId="6AA22ADA" wp14:editId="6A52D0D9">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BF441B" w:rsidRDefault="00214BC6" w:rsidP="00BF441B">
      <w:pPr>
        <w:rPr>
          <w:sz w:val="2"/>
          <w:szCs w:val="2"/>
        </w:rPr>
      </w:pPr>
    </w:p>
    <w:sectPr w:rsidR="00214BC6" w:rsidRPr="00BF441B"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EEA" w:rsidRDefault="009A5EEA" w:rsidP="00546556">
      <w:r>
        <w:separator/>
      </w:r>
    </w:p>
  </w:endnote>
  <w:endnote w:type="continuationSeparator" w:id="0">
    <w:p w:rsidR="009A5EEA" w:rsidRDefault="009A5EE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lang w:val="en-HK"/>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lang w:val="en-HK"/>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EEA" w:rsidRDefault="009A5EEA" w:rsidP="00546556">
      <w:r>
        <w:separator/>
      </w:r>
    </w:p>
  </w:footnote>
  <w:footnote w:type="continuationSeparator" w:id="0">
    <w:p w:rsidR="009A5EEA" w:rsidRDefault="009A5EEA"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DC0" w:rsidRDefault="00F0384F">
    <w:pPr>
      <w:pStyle w:val="Header"/>
    </w:pPr>
    <w:r>
      <w:rPr>
        <w:noProof/>
        <w:lang w:val="en-HK"/>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2"/>
  <w:displayBackgroundShape/>
  <w:gutterAtTop/>
  <w:proofState w:spelling="clean" w:grammar="clean"/>
  <w:documentProtection w:edit="forms" w:enforcement="1" w:cryptProviderType="rsaAES" w:cryptAlgorithmClass="hash" w:cryptAlgorithmType="typeAny" w:cryptAlgorithmSid="14" w:cryptSpinCount="100000" w:hash="AmXzVXp5AeJ1t2YBYNFU/WT6+jDUpSM0PEIT8G+Q4Ri/1w7oZQKLXvtWUO1kNk+nWPHtADpJFn1+bv8X8x5kQA==" w:salt="yT9RNkm3pXdMtRaC19Abx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4/"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6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E7233-51D6-4D96-9AA8-966B14AE5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427</Words>
  <Characters>2439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A Lawyer's Guide to Dealing with Journalists - From Front Page News to Media Crisis</vt:lpstr>
    </vt:vector>
  </TitlesOfParts>
  <Manager>Tyrone Tsang</Manager>
  <Company>The Profectional Company Limited</Company>
  <LinksUpToDate>false</LinksUpToDate>
  <CharactersWithSpaces>2861</CharactersWithSpaces>
  <SharedDoc>false</SharedDoc>
  <HyperlinkBase>http://download.profectional.com/events/EVT000000165.docx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Misrepresentation and Remedies in Hong Kong Contract Law</dc:title>
  <dc:subject>CPD Course: Misrepresentation and Remedies in Hong Kong Contract Law</dc:subject>
  <dc:creator>The Profectional Company Limited</dc:creator>
  <cp:keywords>Profectional; Kornerstone; CPD; CPT; CLE; CE; RME; Stephen Hall; Fellow; C.W. Chu College; The Chinese University of Hong Kong</cp:keywords>
  <cp:lastModifiedBy>Tyrone Tsang</cp:lastModifiedBy>
  <cp:revision>16</cp:revision>
  <cp:lastPrinted>2016-11-25T02:07:00Z</cp:lastPrinted>
  <dcterms:created xsi:type="dcterms:W3CDTF">2015-05-28T16:24:00Z</dcterms:created>
  <dcterms:modified xsi:type="dcterms:W3CDTF">2016-11-25T02:07:00Z</dcterms:modified>
</cp:coreProperties>
</file>