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63D5" w:rsidRPr="009D63D5" w:rsidRDefault="009D63D5" w:rsidP="009D63D5">
      <w:pPr>
        <w:spacing w:line="276" w:lineRule="auto"/>
        <w:jc w:val="left"/>
        <w:rPr>
          <w:rFonts w:ascii="Arial" w:hAnsi="Arial" w:cs="Arial"/>
          <w:sz w:val="2"/>
          <w:szCs w:val="2"/>
        </w:rPr>
      </w:pPr>
      <w:bookmarkStart w:id="0" w:name="_GoBack"/>
      <w:bookmarkEnd w:id="0"/>
    </w:p>
    <w:tbl>
      <w:tblPr>
        <w:tblW w:w="10773" w:type="dxa"/>
        <w:jc w:val="center"/>
        <w:tblLook w:val="04A0" w:firstRow="1" w:lastRow="0" w:firstColumn="1" w:lastColumn="0" w:noHBand="0" w:noVBand="1"/>
      </w:tblPr>
      <w:tblGrid>
        <w:gridCol w:w="4797"/>
        <w:gridCol w:w="5976"/>
      </w:tblGrid>
      <w:tr w:rsidR="009D63D5" w:rsidRPr="00523A64" w:rsidTr="00E5386C">
        <w:trPr>
          <w:trHeight w:val="3119"/>
          <w:jc w:val="center"/>
        </w:trPr>
        <w:tc>
          <w:tcPr>
            <w:tcW w:w="4820" w:type="dxa"/>
            <w:shd w:val="clear" w:color="auto" w:fill="FFFFFF"/>
            <w:vAlign w:val="center"/>
          </w:tcPr>
          <w:p w:rsidR="009D63D5" w:rsidRPr="008259A9" w:rsidRDefault="009D63D5" w:rsidP="00E5386C">
            <w:pPr>
              <w:jc w:val="center"/>
              <w:rPr>
                <w:rFonts w:ascii="Arial" w:hAnsi="Arial" w:cs="Arial"/>
                <w:b/>
                <w:bCs/>
                <w:color w:val="524B48"/>
                <w:sz w:val="4"/>
                <w:szCs w:val="4"/>
              </w:rPr>
            </w:pPr>
          </w:p>
          <w:p w:rsidR="009D63D5" w:rsidRDefault="009D63D5" w:rsidP="00E5386C">
            <w:pPr>
              <w:jc w:val="center"/>
              <w:rPr>
                <w:rStyle w:val="Hyperlink"/>
                <w:rFonts w:ascii="Arial" w:hAnsi="Arial" w:cs="Arial"/>
                <w:b/>
                <w:bCs/>
                <w:color w:val="524B48"/>
                <w:sz w:val="32"/>
                <w:szCs w:val="32"/>
                <w:u w:val="none"/>
              </w:rPr>
            </w:pPr>
            <w:r>
              <w:fldChar w:fldCharType="begin"/>
            </w:r>
            <w:r>
              <w:instrText>HYPERLINK "http://cpd.hk/evt000000175/"</w:instrText>
            </w:r>
            <w:r>
              <w:fldChar w:fldCharType="separate"/>
            </w:r>
            <w:r>
              <w:rPr>
                <w:rStyle w:val="Hyperlink"/>
                <w:rFonts w:ascii="Arial" w:hAnsi="Arial" w:cs="Arial"/>
                <w:b/>
                <w:bCs/>
                <w:color w:val="524B48"/>
                <w:sz w:val="32"/>
                <w:szCs w:val="32"/>
                <w:u w:val="none"/>
              </w:rPr>
              <w:t>Procedural Impropriety</w:t>
            </w:r>
          </w:p>
          <w:p w:rsidR="009D63D5" w:rsidRDefault="009D63D5" w:rsidP="00E5386C">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as Grounds for</w:t>
            </w:r>
          </w:p>
          <w:p w:rsidR="009D63D5" w:rsidRPr="00032DE4" w:rsidRDefault="009D63D5" w:rsidP="00E5386C">
            <w:pPr>
              <w:jc w:val="center"/>
              <w:rPr>
                <w:rFonts w:ascii="Arial" w:hAnsi="Arial" w:cs="Arial"/>
                <w:b/>
                <w:bCs/>
                <w:color w:val="524B48"/>
                <w:sz w:val="32"/>
                <w:szCs w:val="32"/>
              </w:rPr>
            </w:pPr>
            <w:r>
              <w:rPr>
                <w:rStyle w:val="Hyperlink"/>
                <w:rFonts w:ascii="Arial" w:hAnsi="Arial" w:cs="Arial"/>
                <w:b/>
                <w:bCs/>
                <w:color w:val="524B48"/>
                <w:sz w:val="32"/>
                <w:szCs w:val="32"/>
                <w:u w:val="none"/>
              </w:rPr>
              <w:t>Judicial Review</w:t>
            </w:r>
            <w:r>
              <w:rPr>
                <w:rStyle w:val="Hyperlink"/>
                <w:rFonts w:ascii="Arial" w:hAnsi="Arial" w:cs="Arial"/>
                <w:b/>
                <w:bCs/>
                <w:color w:val="524B48"/>
                <w:sz w:val="32"/>
                <w:szCs w:val="32"/>
                <w:u w:val="none"/>
              </w:rPr>
              <w:fldChar w:fldCharType="end"/>
            </w:r>
          </w:p>
          <w:p w:rsidR="009D63D5" w:rsidRPr="00731F7F" w:rsidRDefault="009D63D5" w:rsidP="00E5386C">
            <w:pPr>
              <w:jc w:val="center"/>
              <w:rPr>
                <w:rFonts w:ascii="Arial" w:hAnsi="Arial" w:cs="Arial"/>
                <w:b/>
                <w:bCs/>
                <w:sz w:val="24"/>
                <w:szCs w:val="28"/>
              </w:rPr>
            </w:pPr>
          </w:p>
          <w:p w:rsidR="009D63D5" w:rsidRPr="009D67FA" w:rsidRDefault="009D63D5" w:rsidP="00E5386C">
            <w:pPr>
              <w:jc w:val="center"/>
              <w:rPr>
                <w:rFonts w:ascii="Arial" w:hAnsi="Arial" w:cs="Arial"/>
                <w:i/>
                <w:color w:val="6C6361"/>
                <w:sz w:val="24"/>
                <w:szCs w:val="24"/>
              </w:rPr>
            </w:pPr>
            <w:r w:rsidRPr="009D67FA">
              <w:rPr>
                <w:rFonts w:ascii="Arial" w:hAnsi="Arial" w:cs="Arial"/>
                <w:i/>
                <w:color w:val="6C6361"/>
                <w:sz w:val="24"/>
                <w:szCs w:val="24"/>
              </w:rPr>
              <w:t>by</w:t>
            </w:r>
          </w:p>
          <w:p w:rsidR="009D63D5" w:rsidRDefault="009D63D5" w:rsidP="00E5386C">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rsidR="009D63D5" w:rsidRDefault="009D63D5" w:rsidP="00E5386C">
            <w:pPr>
              <w:spacing w:line="276" w:lineRule="auto"/>
              <w:jc w:val="center"/>
              <w:rPr>
                <w:rFonts w:ascii="Arial" w:hAnsi="Arial" w:cs="Arial"/>
                <w:color w:val="6C6361"/>
                <w:sz w:val="24"/>
                <w:szCs w:val="24"/>
              </w:rPr>
            </w:pPr>
            <w:r>
              <w:rPr>
                <w:rFonts w:ascii="Arial" w:hAnsi="Arial" w:cs="Arial"/>
                <w:color w:val="6C6361"/>
                <w:sz w:val="24"/>
                <w:szCs w:val="24"/>
              </w:rPr>
              <w:t>Assistant Professor,</w:t>
            </w:r>
          </w:p>
          <w:p w:rsidR="009D63D5" w:rsidRDefault="009D63D5" w:rsidP="00E5386C">
            <w:pPr>
              <w:spacing w:line="276" w:lineRule="auto"/>
              <w:jc w:val="center"/>
              <w:rPr>
                <w:rFonts w:ascii="Arial" w:hAnsi="Arial" w:cs="Arial"/>
                <w:color w:val="6C6361"/>
                <w:sz w:val="24"/>
                <w:szCs w:val="24"/>
              </w:rPr>
            </w:pPr>
            <w:r>
              <w:rPr>
                <w:rFonts w:ascii="Arial" w:hAnsi="Arial" w:cs="Arial"/>
                <w:color w:val="6C6361"/>
                <w:sz w:val="24"/>
                <w:szCs w:val="24"/>
              </w:rPr>
              <w:t>The Chinese University of Hong Kong</w:t>
            </w:r>
          </w:p>
          <w:p w:rsidR="009D63D5" w:rsidRPr="008259A9" w:rsidRDefault="009D63D5" w:rsidP="00E5386C">
            <w:pPr>
              <w:jc w:val="center"/>
              <w:rPr>
                <w:rFonts w:ascii="Arial" w:hAnsi="Arial" w:cs="Arial"/>
                <w:color w:val="6C6361"/>
                <w:sz w:val="4"/>
                <w:szCs w:val="4"/>
              </w:rPr>
            </w:pPr>
          </w:p>
        </w:tc>
        <w:tc>
          <w:tcPr>
            <w:tcW w:w="5954" w:type="dxa"/>
            <w:shd w:val="clear" w:color="auto" w:fill="FFFFFF"/>
            <w:vAlign w:val="center"/>
          </w:tcPr>
          <w:p w:rsidR="009D63D5" w:rsidRPr="00D50772" w:rsidRDefault="009D63D5" w:rsidP="00E5386C">
            <w:pPr>
              <w:spacing w:line="276" w:lineRule="auto"/>
              <w:rPr>
                <w:rFonts w:ascii="Arial" w:eastAsia="Times New Roman" w:hAnsi="Arial" w:cs="Arial"/>
                <w:noProof/>
                <w:sz w:val="20"/>
                <w:szCs w:val="20"/>
              </w:rPr>
            </w:pPr>
            <w:r w:rsidRPr="00423C37">
              <w:rPr>
                <w:rStyle w:val="Hyperlink"/>
                <w:rFonts w:ascii="Arial" w:hAnsi="Arial" w:cs="Arial"/>
                <w:b/>
                <w:bCs/>
                <w:noProof/>
                <w:color w:val="524B48"/>
                <w:sz w:val="32"/>
                <w:szCs w:val="32"/>
                <w:u w:val="none"/>
              </w:rPr>
              <w:drawing>
                <wp:anchor distT="0" distB="0" distL="114300" distR="114300" simplePos="0" relativeHeight="251659264" behindDoc="0" locked="0" layoutInCell="1" allowOverlap="1" wp14:anchorId="2A92DC7A" wp14:editId="5F20FD13">
                  <wp:simplePos x="0" y="0"/>
                  <wp:positionH relativeFrom="column">
                    <wp:posOffset>3176905</wp:posOffset>
                  </wp:positionH>
                  <wp:positionV relativeFrom="paragraph">
                    <wp:posOffset>-59690</wp:posOffset>
                  </wp:positionV>
                  <wp:extent cx="539750" cy="546735"/>
                  <wp:effectExtent l="0" t="0" r="0" b="5715"/>
                  <wp:wrapNone/>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750" cy="5467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0F99AA0E" wp14:editId="151DA0FF">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tyrone\Desktop\the.profectional.company.limited\events\EVT000000001\EVT00000000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rsidR="009D63D5" w:rsidRPr="00155CB9" w:rsidRDefault="009D63D5" w:rsidP="009D63D5">
      <w:pPr>
        <w:spacing w:line="276" w:lineRule="auto"/>
        <w:jc w:val="left"/>
        <w:rPr>
          <w:rFonts w:ascii="Arial" w:hAnsi="Arial" w:cs="Arial"/>
          <w:sz w:val="16"/>
          <w:szCs w:val="20"/>
        </w:rPr>
      </w:pPr>
    </w:p>
    <w:tbl>
      <w:tblPr>
        <w:tblW w:w="10773" w:type="dxa"/>
        <w:jc w:val="center"/>
        <w:tblLook w:val="04A0" w:firstRow="1" w:lastRow="0" w:firstColumn="1" w:lastColumn="0" w:noHBand="0" w:noVBand="1"/>
      </w:tblPr>
      <w:tblGrid>
        <w:gridCol w:w="1985"/>
        <w:gridCol w:w="8788"/>
      </w:tblGrid>
      <w:tr w:rsidR="009D63D5" w:rsidRPr="00155CB9" w:rsidTr="00E5386C">
        <w:trPr>
          <w:trHeight w:val="2495"/>
          <w:jc w:val="center"/>
        </w:trPr>
        <w:tc>
          <w:tcPr>
            <w:tcW w:w="1985" w:type="dxa"/>
            <w:shd w:val="clear" w:color="auto" w:fill="FFFFFF"/>
            <w:vAlign w:val="center"/>
          </w:tcPr>
          <w:p w:rsidR="009D63D5" w:rsidRPr="00155CB9" w:rsidRDefault="009D63D5" w:rsidP="00E5386C">
            <w:pPr>
              <w:spacing w:line="276" w:lineRule="auto"/>
              <w:jc w:val="center"/>
              <w:rPr>
                <w:rFonts w:ascii="Arial" w:hAnsi="Arial" w:cs="Arial"/>
                <w:sz w:val="20"/>
                <w:szCs w:val="20"/>
              </w:rPr>
            </w:pPr>
            <w:r w:rsidRPr="00155CB9">
              <w:rPr>
                <w:rFonts w:ascii="Arial" w:hAnsi="Arial" w:cs="Arial"/>
                <w:noProof/>
                <w:sz w:val="20"/>
                <w:szCs w:val="20"/>
              </w:rPr>
              <w:drawing>
                <wp:inline distT="0" distB="0" distL="0" distR="0" wp14:anchorId="2CB61C2C" wp14:editId="61638D0A">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rsidR="009D63D5" w:rsidRPr="00155CB9" w:rsidRDefault="009D63D5" w:rsidP="00E5386C">
            <w:pPr>
              <w:spacing w:line="276" w:lineRule="auto"/>
              <w:rPr>
                <w:rFonts w:ascii="Arial" w:hAnsi="Arial" w:cs="Arial"/>
                <w:sz w:val="20"/>
                <w:szCs w:val="20"/>
              </w:rPr>
            </w:pPr>
            <w:r w:rsidRPr="00155CB9">
              <w:rPr>
                <w:rFonts w:ascii="Arial" w:hAnsi="Arial" w:cs="Arial"/>
                <w:color w:val="6C6361"/>
                <w:sz w:val="20"/>
                <w:szCs w:val="20"/>
              </w:rPr>
              <w:t>Stephen Thomson is an Assistant Professor at the Chinese University of Hong Kong (CUHK), where he leads teaching in administrative law.  Dr. Thomson holds a Ph.D. in judicial review from the University of Edinburgh (UK), where he previously taught constitutional and administrative law on a part-time basis.  In addition to his experience in the field of administrative law, Dr. Thomson is the leading authority on equitable jurisdiction in Scotland where he has written the only book on that subject.  Dr. Thomson has practical legal and commercial experience, having worked at law firms and barristers' chambers in the UK and Channel Islands.  He has acted on a consultancy basis to law firms, private clients and public bodies in Hong Kong and the UK.  Dr. Thomson is also a Legal Adviser to the Ombudsman of Hong Kong.</w:t>
            </w:r>
          </w:p>
        </w:tc>
      </w:tr>
    </w:tbl>
    <w:p w:rsidR="009D63D5" w:rsidRPr="00155CB9" w:rsidRDefault="009D63D5" w:rsidP="009D63D5">
      <w:pPr>
        <w:spacing w:line="276" w:lineRule="auto"/>
        <w:rPr>
          <w:rFonts w:ascii="Arial" w:hAnsi="Arial" w:cs="Arial"/>
          <w:sz w:val="16"/>
          <w:szCs w:val="20"/>
        </w:rPr>
      </w:pPr>
    </w:p>
    <w:tbl>
      <w:tblPr>
        <w:tblW w:w="10773" w:type="dxa"/>
        <w:jc w:val="center"/>
        <w:tblBorders>
          <w:bottom w:val="single" w:sz="12" w:space="0" w:color="FFFFFF"/>
        </w:tblBorders>
        <w:tblLook w:val="04A0" w:firstRow="1" w:lastRow="0" w:firstColumn="1" w:lastColumn="0" w:noHBand="0" w:noVBand="1"/>
      </w:tblPr>
      <w:tblGrid>
        <w:gridCol w:w="8931"/>
        <w:gridCol w:w="1842"/>
      </w:tblGrid>
      <w:tr w:rsidR="009D63D5" w:rsidRPr="00155CB9" w:rsidTr="00E5386C">
        <w:trPr>
          <w:trHeight w:val="2140"/>
          <w:jc w:val="center"/>
        </w:trPr>
        <w:tc>
          <w:tcPr>
            <w:tcW w:w="10773" w:type="dxa"/>
            <w:gridSpan w:val="2"/>
            <w:tcBorders>
              <w:top w:val="nil"/>
              <w:bottom w:val="nil"/>
            </w:tcBorders>
            <w:shd w:val="clear" w:color="auto" w:fill="FFFFFF" w:themeFill="background1"/>
            <w:vAlign w:val="center"/>
          </w:tcPr>
          <w:p w:rsidR="009D63D5" w:rsidRPr="00155CB9" w:rsidRDefault="009D63D5" w:rsidP="00E5386C">
            <w:pPr>
              <w:spacing w:line="276" w:lineRule="auto"/>
              <w:rPr>
                <w:rFonts w:ascii="Arial" w:hAnsi="Arial" w:cs="Arial"/>
                <w:color w:val="6C6361"/>
                <w:sz w:val="20"/>
                <w:szCs w:val="20"/>
              </w:rPr>
            </w:pPr>
            <w:r w:rsidRPr="00155CB9">
              <w:rPr>
                <w:rFonts w:ascii="Arial" w:hAnsi="Arial" w:cs="Arial"/>
                <w:color w:val="6C6361"/>
                <w:sz w:val="20"/>
                <w:szCs w:val="20"/>
              </w:rPr>
              <w:t>This is an intermediate level course on procedural impropriety as grounds for judicial review.  It will explore five main contexts in which procedural impropriety features.</w:t>
            </w:r>
          </w:p>
          <w:p w:rsidR="009D63D5" w:rsidRPr="00155CB9" w:rsidRDefault="009D63D5" w:rsidP="009D63D5">
            <w:pPr>
              <w:pStyle w:val="ListParagraph"/>
              <w:numPr>
                <w:ilvl w:val="0"/>
                <w:numId w:val="19"/>
              </w:numPr>
              <w:spacing w:line="276" w:lineRule="auto"/>
              <w:rPr>
                <w:rFonts w:ascii="Arial" w:hAnsi="Arial" w:cs="Arial"/>
                <w:color w:val="524B48"/>
                <w:sz w:val="20"/>
                <w:szCs w:val="20"/>
              </w:rPr>
            </w:pPr>
            <w:r w:rsidRPr="00155CB9">
              <w:rPr>
                <w:rFonts w:ascii="Arial" w:hAnsi="Arial" w:cs="Arial"/>
                <w:color w:val="524B48"/>
                <w:sz w:val="20"/>
                <w:szCs w:val="20"/>
              </w:rPr>
              <w:t>Deviation from, or failure to observe, statutory procedure: how is this defined, and what are the consequences of non-compliance?</w:t>
            </w:r>
          </w:p>
          <w:p w:rsidR="009D63D5" w:rsidRPr="00155CB9" w:rsidRDefault="009D63D5" w:rsidP="009D63D5">
            <w:pPr>
              <w:pStyle w:val="ListParagraph"/>
              <w:numPr>
                <w:ilvl w:val="0"/>
                <w:numId w:val="19"/>
              </w:numPr>
              <w:spacing w:line="276" w:lineRule="auto"/>
              <w:rPr>
                <w:rFonts w:ascii="Arial" w:hAnsi="Arial" w:cs="Arial"/>
                <w:color w:val="524B48"/>
                <w:sz w:val="20"/>
                <w:szCs w:val="20"/>
              </w:rPr>
            </w:pPr>
            <w:r w:rsidRPr="00155CB9">
              <w:rPr>
                <w:rFonts w:ascii="Arial" w:hAnsi="Arial" w:cs="Arial"/>
                <w:color w:val="524B48"/>
                <w:sz w:val="20"/>
                <w:szCs w:val="20"/>
              </w:rPr>
              <w:t>The right to a hearing: is there such a right at common law, and when might that right be activated?</w:t>
            </w:r>
          </w:p>
          <w:p w:rsidR="009D63D5" w:rsidRPr="00155CB9" w:rsidRDefault="009D63D5" w:rsidP="009D63D5">
            <w:pPr>
              <w:pStyle w:val="ListParagraph"/>
              <w:numPr>
                <w:ilvl w:val="0"/>
                <w:numId w:val="19"/>
              </w:numPr>
              <w:spacing w:line="276" w:lineRule="auto"/>
              <w:rPr>
                <w:rFonts w:ascii="Arial" w:hAnsi="Arial" w:cs="Arial"/>
                <w:color w:val="524B48"/>
                <w:sz w:val="20"/>
                <w:szCs w:val="20"/>
              </w:rPr>
            </w:pPr>
            <w:r w:rsidRPr="00155CB9">
              <w:rPr>
                <w:rFonts w:ascii="Arial" w:hAnsi="Arial" w:cs="Arial"/>
                <w:color w:val="524B48"/>
                <w:sz w:val="20"/>
                <w:szCs w:val="20"/>
              </w:rPr>
              <w:t>The right to representation: is there a right at common law to be represented, and when might that right be activated?</w:t>
            </w:r>
          </w:p>
          <w:p w:rsidR="009D63D5" w:rsidRPr="00155CB9" w:rsidRDefault="009D63D5" w:rsidP="009D63D5">
            <w:pPr>
              <w:pStyle w:val="ListParagraph"/>
              <w:numPr>
                <w:ilvl w:val="0"/>
                <w:numId w:val="19"/>
              </w:numPr>
              <w:spacing w:line="276" w:lineRule="auto"/>
              <w:rPr>
                <w:rFonts w:ascii="Arial" w:hAnsi="Arial" w:cs="Arial"/>
                <w:color w:val="524B48"/>
                <w:sz w:val="20"/>
                <w:szCs w:val="20"/>
              </w:rPr>
            </w:pPr>
            <w:r w:rsidRPr="00155CB9">
              <w:rPr>
                <w:rFonts w:ascii="Arial" w:hAnsi="Arial" w:cs="Arial"/>
                <w:color w:val="524B48"/>
                <w:sz w:val="20"/>
                <w:szCs w:val="20"/>
              </w:rPr>
              <w:t>The duty to give reasons for decisions: is there such a duty at common law, and if so, when (and how) does it apply? When reasons must be given, what are the legal requirements on the adequacy of reasons?</w:t>
            </w:r>
          </w:p>
          <w:p w:rsidR="009D63D5" w:rsidRPr="00155CB9" w:rsidRDefault="009D63D5" w:rsidP="009D63D5">
            <w:pPr>
              <w:pStyle w:val="ListParagraph"/>
              <w:numPr>
                <w:ilvl w:val="0"/>
                <w:numId w:val="19"/>
              </w:numPr>
              <w:spacing w:line="276" w:lineRule="auto"/>
              <w:rPr>
                <w:rFonts w:ascii="Arial" w:hAnsi="Arial" w:cs="Arial"/>
                <w:color w:val="524B48"/>
                <w:sz w:val="20"/>
                <w:szCs w:val="20"/>
              </w:rPr>
            </w:pPr>
            <w:r w:rsidRPr="00155CB9">
              <w:rPr>
                <w:rFonts w:ascii="Arial" w:hAnsi="Arial" w:cs="Arial"/>
                <w:color w:val="524B48"/>
                <w:sz w:val="20"/>
                <w:szCs w:val="20"/>
              </w:rPr>
              <w:t>Bias: what circumstances can (and cannot) give rise to bias, how is bias defined, and what are the consequences of insufficient impartiality on the part of a decision-maker? When might bias be “excused”?</w:t>
            </w:r>
          </w:p>
          <w:p w:rsidR="009D63D5" w:rsidRPr="00155CB9" w:rsidRDefault="009D63D5" w:rsidP="00E5386C">
            <w:pPr>
              <w:spacing w:line="276" w:lineRule="auto"/>
              <w:rPr>
                <w:rFonts w:ascii="Arial" w:hAnsi="Arial" w:cs="Arial"/>
                <w:color w:val="524B48"/>
                <w:sz w:val="20"/>
                <w:szCs w:val="20"/>
              </w:rPr>
            </w:pPr>
            <w:r w:rsidRPr="00155CB9">
              <w:rPr>
                <w:rFonts w:ascii="Arial" w:hAnsi="Arial" w:cs="Arial"/>
                <w:color w:val="524B48"/>
                <w:sz w:val="20"/>
                <w:szCs w:val="20"/>
              </w:rPr>
              <w:t>We will explore the main principles, rules, legal tests and case law applying to each of these categories of procedural impropriety.</w:t>
            </w:r>
          </w:p>
        </w:tc>
      </w:tr>
      <w:tr w:rsidR="009D63D5" w:rsidRPr="00155CB9" w:rsidTr="00E5386C">
        <w:trPr>
          <w:trHeight w:val="284"/>
          <w:jc w:val="center"/>
        </w:trPr>
        <w:tc>
          <w:tcPr>
            <w:tcW w:w="8931" w:type="dxa"/>
            <w:tcBorders>
              <w:top w:val="nil"/>
              <w:bottom w:val="nil"/>
              <w:right w:val="nil"/>
            </w:tcBorders>
            <w:shd w:val="clear" w:color="auto" w:fill="F0EBE1"/>
            <w:vAlign w:val="center"/>
          </w:tcPr>
          <w:p w:rsidR="009D63D5" w:rsidRPr="00155CB9" w:rsidRDefault="009D63D5" w:rsidP="00E5386C">
            <w:pPr>
              <w:rPr>
                <w:rFonts w:ascii="Arial" w:hAnsi="Arial" w:cs="Arial"/>
                <w:b/>
                <w:color w:val="524B48"/>
                <w:sz w:val="20"/>
                <w:szCs w:val="20"/>
              </w:rPr>
            </w:pPr>
            <w:r w:rsidRPr="00155CB9">
              <w:rPr>
                <w:rFonts w:ascii="Arial" w:hAnsi="Arial" w:cs="Arial"/>
                <w:b/>
                <w:color w:val="524B48"/>
                <w:sz w:val="20"/>
                <w:szCs w:val="20"/>
              </w:rPr>
              <w:t>Contents</w:t>
            </w:r>
          </w:p>
        </w:tc>
        <w:tc>
          <w:tcPr>
            <w:tcW w:w="1842" w:type="dxa"/>
            <w:vMerge w:val="restart"/>
            <w:tcBorders>
              <w:top w:val="nil"/>
              <w:left w:val="nil"/>
              <w:bottom w:val="nil"/>
            </w:tcBorders>
            <w:shd w:val="clear" w:color="auto" w:fill="FFFFFF" w:themeFill="background1"/>
            <w:vAlign w:val="center"/>
          </w:tcPr>
          <w:p w:rsidR="009D63D5" w:rsidRPr="00155CB9" w:rsidRDefault="009D63D5" w:rsidP="00E5386C">
            <w:pPr>
              <w:jc w:val="center"/>
              <w:rPr>
                <w:rFonts w:ascii="Arial" w:hAnsi="Arial" w:cs="Arial"/>
                <w:b/>
                <w:color w:val="524B48"/>
                <w:sz w:val="20"/>
                <w:szCs w:val="20"/>
              </w:rPr>
            </w:pPr>
            <w:r w:rsidRPr="0006321B">
              <w:rPr>
                <w:noProof/>
                <w:sz w:val="20"/>
                <w:szCs w:val="20"/>
              </w:rPr>
              <w:drawing>
                <wp:inline distT="0" distB="0" distL="0" distR="0" wp14:anchorId="4326964B" wp14:editId="3A609709">
                  <wp:extent cx="896400" cy="1022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 cy="1022400"/>
                          </a:xfrm>
                          <a:prstGeom prst="rect">
                            <a:avLst/>
                          </a:prstGeom>
                          <a:noFill/>
                          <a:ln>
                            <a:noFill/>
                          </a:ln>
                        </pic:spPr>
                      </pic:pic>
                    </a:graphicData>
                  </a:graphic>
                </wp:inline>
              </w:drawing>
            </w:r>
          </w:p>
        </w:tc>
      </w:tr>
      <w:tr w:rsidR="009D63D5" w:rsidRPr="00155CB9" w:rsidTr="00E5386C">
        <w:trPr>
          <w:trHeight w:val="1588"/>
          <w:jc w:val="center"/>
        </w:trPr>
        <w:tc>
          <w:tcPr>
            <w:tcW w:w="8931" w:type="dxa"/>
            <w:tcBorders>
              <w:top w:val="nil"/>
              <w:bottom w:val="nil"/>
              <w:right w:val="nil"/>
            </w:tcBorders>
            <w:shd w:val="clear" w:color="auto" w:fill="FFFFFF"/>
            <w:vAlign w:val="center"/>
          </w:tcPr>
          <w:p w:rsidR="009D63D5" w:rsidRPr="00155CB9" w:rsidRDefault="009D63D5" w:rsidP="00E5386C">
            <w:pPr>
              <w:pStyle w:val="ListParagraph"/>
              <w:numPr>
                <w:ilvl w:val="0"/>
                <w:numId w:val="2"/>
              </w:numPr>
              <w:spacing w:line="276" w:lineRule="auto"/>
              <w:rPr>
                <w:rFonts w:ascii="Arial" w:hAnsi="Arial" w:cs="Arial"/>
                <w:color w:val="6C6361"/>
                <w:sz w:val="20"/>
                <w:szCs w:val="20"/>
              </w:rPr>
            </w:pPr>
            <w:r w:rsidRPr="00155CB9">
              <w:rPr>
                <w:rFonts w:ascii="Arial" w:hAnsi="Arial" w:cs="Arial"/>
                <w:color w:val="6C6361"/>
                <w:sz w:val="20"/>
                <w:szCs w:val="20"/>
              </w:rPr>
              <w:t>What is procedural impropriety?</w:t>
            </w:r>
          </w:p>
          <w:p w:rsidR="009D63D5" w:rsidRPr="00155CB9" w:rsidRDefault="009D63D5" w:rsidP="00E5386C">
            <w:pPr>
              <w:pStyle w:val="ListParagraph"/>
              <w:numPr>
                <w:ilvl w:val="0"/>
                <w:numId w:val="2"/>
              </w:numPr>
              <w:spacing w:line="276" w:lineRule="auto"/>
              <w:rPr>
                <w:rFonts w:ascii="Arial" w:hAnsi="Arial" w:cs="Arial"/>
                <w:color w:val="6C6361"/>
                <w:sz w:val="20"/>
                <w:szCs w:val="20"/>
              </w:rPr>
            </w:pPr>
            <w:r w:rsidRPr="00155CB9">
              <w:rPr>
                <w:rFonts w:ascii="Arial" w:hAnsi="Arial" w:cs="Arial"/>
                <w:color w:val="6C6361"/>
                <w:sz w:val="20"/>
                <w:szCs w:val="20"/>
              </w:rPr>
              <w:t>Deviation from, or failure to observe, statutory procedure</w:t>
            </w:r>
          </w:p>
          <w:p w:rsidR="009D63D5" w:rsidRPr="00155CB9" w:rsidRDefault="009D63D5" w:rsidP="00E5386C">
            <w:pPr>
              <w:pStyle w:val="ListParagraph"/>
              <w:numPr>
                <w:ilvl w:val="0"/>
                <w:numId w:val="2"/>
              </w:numPr>
              <w:spacing w:line="276" w:lineRule="auto"/>
              <w:rPr>
                <w:rFonts w:ascii="Arial" w:hAnsi="Arial" w:cs="Arial"/>
                <w:color w:val="6C6361"/>
                <w:sz w:val="20"/>
                <w:szCs w:val="20"/>
              </w:rPr>
            </w:pPr>
            <w:r w:rsidRPr="00155CB9">
              <w:rPr>
                <w:rFonts w:ascii="Arial" w:hAnsi="Arial" w:cs="Arial"/>
                <w:color w:val="6C6361"/>
                <w:sz w:val="20"/>
                <w:szCs w:val="20"/>
              </w:rPr>
              <w:t>Right to a hearing</w:t>
            </w:r>
          </w:p>
          <w:p w:rsidR="009D63D5" w:rsidRPr="00155CB9" w:rsidRDefault="009D63D5" w:rsidP="00E5386C">
            <w:pPr>
              <w:pStyle w:val="ListParagraph"/>
              <w:numPr>
                <w:ilvl w:val="0"/>
                <w:numId w:val="2"/>
              </w:numPr>
              <w:spacing w:line="276" w:lineRule="auto"/>
              <w:rPr>
                <w:rFonts w:ascii="Arial" w:hAnsi="Arial" w:cs="Arial"/>
                <w:color w:val="6C6361"/>
                <w:sz w:val="20"/>
                <w:szCs w:val="20"/>
              </w:rPr>
            </w:pPr>
            <w:r w:rsidRPr="00155CB9">
              <w:rPr>
                <w:rFonts w:ascii="Arial" w:hAnsi="Arial" w:cs="Arial"/>
                <w:color w:val="6C6361"/>
                <w:sz w:val="20"/>
                <w:szCs w:val="20"/>
              </w:rPr>
              <w:t>Right to representation</w:t>
            </w:r>
          </w:p>
          <w:p w:rsidR="009D63D5" w:rsidRPr="00155CB9" w:rsidRDefault="009D63D5" w:rsidP="00E5386C">
            <w:pPr>
              <w:pStyle w:val="ListParagraph"/>
              <w:numPr>
                <w:ilvl w:val="0"/>
                <w:numId w:val="2"/>
              </w:numPr>
              <w:spacing w:line="276" w:lineRule="auto"/>
              <w:rPr>
                <w:rFonts w:ascii="Arial" w:hAnsi="Arial" w:cs="Arial"/>
                <w:color w:val="6C6361"/>
                <w:sz w:val="20"/>
                <w:szCs w:val="20"/>
              </w:rPr>
            </w:pPr>
            <w:r w:rsidRPr="00155CB9">
              <w:rPr>
                <w:rFonts w:ascii="Arial" w:hAnsi="Arial" w:cs="Arial"/>
                <w:color w:val="6C6361"/>
                <w:sz w:val="20"/>
                <w:szCs w:val="20"/>
              </w:rPr>
              <w:t>Duty to give reasons for decisions</w:t>
            </w:r>
          </w:p>
          <w:p w:rsidR="009D63D5" w:rsidRPr="00155CB9" w:rsidRDefault="009D63D5" w:rsidP="00E5386C">
            <w:pPr>
              <w:pStyle w:val="ListParagraph"/>
              <w:numPr>
                <w:ilvl w:val="0"/>
                <w:numId w:val="2"/>
              </w:numPr>
              <w:rPr>
                <w:rFonts w:ascii="Arial" w:hAnsi="Arial" w:cs="Arial"/>
                <w:color w:val="6C6361"/>
                <w:sz w:val="20"/>
                <w:szCs w:val="20"/>
              </w:rPr>
            </w:pPr>
            <w:r w:rsidRPr="00155CB9">
              <w:rPr>
                <w:rFonts w:ascii="Arial" w:hAnsi="Arial" w:cs="Arial"/>
                <w:color w:val="6C6361"/>
                <w:sz w:val="20"/>
                <w:szCs w:val="20"/>
              </w:rPr>
              <w:t>Bias</w:t>
            </w:r>
          </w:p>
        </w:tc>
        <w:tc>
          <w:tcPr>
            <w:tcW w:w="1842" w:type="dxa"/>
            <w:vMerge/>
            <w:tcBorders>
              <w:left w:val="nil"/>
              <w:bottom w:val="nil"/>
            </w:tcBorders>
            <w:shd w:val="clear" w:color="auto" w:fill="FFFFFF" w:themeFill="background1"/>
            <w:vAlign w:val="center"/>
          </w:tcPr>
          <w:p w:rsidR="009D63D5" w:rsidRPr="00155CB9" w:rsidRDefault="009D63D5" w:rsidP="00E5386C">
            <w:pPr>
              <w:rPr>
                <w:rFonts w:ascii="Arial" w:hAnsi="Arial" w:cs="Arial"/>
                <w:color w:val="6C6361"/>
                <w:sz w:val="20"/>
                <w:szCs w:val="20"/>
              </w:rPr>
            </w:pPr>
          </w:p>
        </w:tc>
      </w:tr>
    </w:tbl>
    <w:p w:rsidR="009D63D5" w:rsidRPr="00155CB9" w:rsidRDefault="009D63D5" w:rsidP="009D63D5">
      <w:pPr>
        <w:spacing w:line="276" w:lineRule="auto"/>
        <w:jc w:val="left"/>
        <w:rPr>
          <w:rFonts w:ascii="Arial" w:hAnsi="Arial" w:cs="Arial"/>
          <w:sz w:val="16"/>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2411"/>
        <w:gridCol w:w="1274"/>
      </w:tblGrid>
      <w:tr w:rsidR="009D63D5" w:rsidRPr="005A2F25" w:rsidTr="00E5386C">
        <w:trPr>
          <w:trHeight w:val="284"/>
          <w:jc w:val="center"/>
        </w:trPr>
        <w:tc>
          <w:tcPr>
            <w:tcW w:w="1701" w:type="dxa"/>
            <w:tcBorders>
              <w:top w:val="nil"/>
              <w:left w:val="nil"/>
              <w:bottom w:val="single" w:sz="12" w:space="0" w:color="FFFFFF"/>
            </w:tcBorders>
            <w:shd w:val="clear" w:color="auto" w:fill="F0EBE1"/>
            <w:vAlign w:val="center"/>
          </w:tcPr>
          <w:p w:rsidR="009D63D5" w:rsidRPr="002343EF"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rsidR="009D63D5" w:rsidRPr="002343EF"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EVT000000175</w:t>
            </w:r>
          </w:p>
        </w:tc>
        <w:tc>
          <w:tcPr>
            <w:tcW w:w="1701" w:type="dxa"/>
            <w:tcBorders>
              <w:top w:val="nil"/>
              <w:bottom w:val="single" w:sz="12" w:space="0" w:color="FFFFFF"/>
            </w:tcBorders>
            <w:shd w:val="clear" w:color="auto" w:fill="F0EBE1"/>
            <w:vAlign w:val="center"/>
          </w:tcPr>
          <w:p w:rsidR="009D63D5" w:rsidRPr="002343EF"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rsidR="009D63D5" w:rsidRPr="002343EF"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9D63D5" w:rsidRPr="005A2F25" w:rsidTr="00E5386C">
        <w:trPr>
          <w:trHeight w:val="284"/>
          <w:jc w:val="center"/>
        </w:trPr>
        <w:tc>
          <w:tcPr>
            <w:tcW w:w="1701" w:type="dxa"/>
            <w:tcBorders>
              <w:top w:val="single" w:sz="12" w:space="0" w:color="FFFFFF"/>
              <w:left w:val="nil"/>
              <w:bottom w:val="single" w:sz="12" w:space="0" w:color="FFFFFF"/>
            </w:tcBorders>
            <w:shd w:val="clear" w:color="auto" w:fill="F0EBE1"/>
            <w:vAlign w:val="center"/>
          </w:tcPr>
          <w:p w:rsidR="009D63D5" w:rsidRPr="002343EF"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rsidR="009D63D5" w:rsidRPr="006B70C1"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23 June 2017 (Friday) (Amended)</w:t>
            </w:r>
          </w:p>
        </w:tc>
        <w:tc>
          <w:tcPr>
            <w:tcW w:w="1701" w:type="dxa"/>
            <w:tcBorders>
              <w:top w:val="single" w:sz="12" w:space="0" w:color="FFFFFF"/>
              <w:bottom w:val="single" w:sz="12" w:space="0" w:color="FFFFFF"/>
            </w:tcBorders>
            <w:shd w:val="clear" w:color="auto" w:fill="F0EBE1"/>
            <w:vAlign w:val="center"/>
          </w:tcPr>
          <w:p w:rsidR="009D63D5" w:rsidRPr="002343EF"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rsidR="009D63D5" w:rsidRPr="002343EF"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9D63D5" w:rsidRPr="005A2F25" w:rsidTr="00E5386C">
        <w:trPr>
          <w:trHeight w:val="284"/>
          <w:jc w:val="center"/>
        </w:trPr>
        <w:tc>
          <w:tcPr>
            <w:tcW w:w="1701" w:type="dxa"/>
            <w:tcBorders>
              <w:top w:val="single" w:sz="12" w:space="0" w:color="FFFFFF"/>
              <w:left w:val="nil"/>
              <w:bottom w:val="single" w:sz="12" w:space="0" w:color="FFFFFF"/>
            </w:tcBorders>
            <w:shd w:val="clear" w:color="auto" w:fill="F0EBE1"/>
            <w:vAlign w:val="center"/>
          </w:tcPr>
          <w:p w:rsidR="009D63D5" w:rsidRPr="002343EF"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rsidR="009D63D5"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rsidR="009D63D5" w:rsidRPr="00EC7ADB"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rsidR="009D63D5" w:rsidRPr="002343EF"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rsidR="009D63D5"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LSHK 3.0 CPD Points</w:t>
            </w:r>
          </w:p>
          <w:p w:rsidR="009D63D5" w:rsidRPr="00EA7099"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color w:val="6C6361"/>
                <w:sz w:val="20"/>
                <w:szCs w:val="20"/>
              </w:rPr>
            </w:pPr>
            <w:r w:rsidRPr="00EA7099">
              <w:rPr>
                <w:rFonts w:ascii="Arial" w:hAnsi="Arial" w:cs="Arial"/>
                <w:color w:val="6C6361"/>
                <w:sz w:val="20"/>
                <w:szCs w:val="20"/>
              </w:rPr>
              <w:t>(LSHK Allocated Number: 20170308)</w:t>
            </w:r>
          </w:p>
        </w:tc>
      </w:tr>
      <w:tr w:rsidR="009D63D5" w:rsidRPr="005A2F25" w:rsidTr="00E5386C">
        <w:trPr>
          <w:trHeight w:val="1247"/>
          <w:jc w:val="center"/>
        </w:trPr>
        <w:tc>
          <w:tcPr>
            <w:tcW w:w="1701" w:type="dxa"/>
            <w:tcBorders>
              <w:top w:val="single" w:sz="12" w:space="0" w:color="FFFFFF"/>
              <w:left w:val="nil"/>
              <w:bottom w:val="nil"/>
            </w:tcBorders>
            <w:shd w:val="clear" w:color="auto" w:fill="F0EBE1"/>
            <w:vAlign w:val="center"/>
          </w:tcPr>
          <w:p w:rsidR="009D63D5" w:rsidRPr="002343EF"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rsidR="009D63D5" w:rsidRPr="00482956" w:rsidRDefault="009D63D5" w:rsidP="00E5386C">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482956">
              <w:rPr>
                <w:rFonts w:ascii="Arial" w:hAnsi="Arial" w:cs="Arial"/>
                <w:b/>
                <w:color w:val="6C6361"/>
                <w:sz w:val="20"/>
                <w:szCs w:val="20"/>
              </w:rPr>
              <w:fldChar w:fldCharType="begin"/>
            </w:r>
            <w:r>
              <w:rPr>
                <w:rFonts w:ascii="Arial" w:hAnsi="Arial" w:cs="Arial"/>
                <w:b/>
                <w:color w:val="6C6361"/>
                <w:sz w:val="20"/>
                <w:szCs w:val="20"/>
              </w:rPr>
              <w:instrText>HYPERLINK "http://goo.gl/maps/DKYQ1"</w:instrText>
            </w:r>
            <w:r w:rsidRPr="00482956">
              <w:rPr>
                <w:rFonts w:ascii="Arial" w:hAnsi="Arial" w:cs="Arial"/>
                <w:b/>
                <w:color w:val="6C6361"/>
                <w:sz w:val="20"/>
                <w:szCs w:val="20"/>
              </w:rPr>
              <w:fldChar w:fldCharType="separate"/>
            </w:r>
            <w:proofErr w:type="spellStart"/>
            <w:r w:rsidRPr="00482956">
              <w:rPr>
                <w:rStyle w:val="Hyperlink"/>
                <w:rFonts w:ascii="Arial" w:hAnsi="Arial" w:cs="Arial"/>
                <w:b/>
                <w:color w:val="6C6361"/>
                <w:sz w:val="20"/>
                <w:szCs w:val="20"/>
                <w:u w:val="none"/>
              </w:rPr>
              <w:t>Kornerstone</w:t>
            </w:r>
            <w:proofErr w:type="spellEnd"/>
            <w:r w:rsidRPr="00482956">
              <w:rPr>
                <w:rStyle w:val="Hyperlink"/>
                <w:rFonts w:ascii="Arial" w:hAnsi="Arial" w:cs="Arial"/>
                <w:b/>
                <w:color w:val="6C6361"/>
                <w:sz w:val="20"/>
                <w:szCs w:val="20"/>
                <w:u w:val="none"/>
              </w:rPr>
              <w:t xml:space="preserve"> Institute</w:t>
            </w:r>
          </w:p>
          <w:p w:rsidR="009D63D5" w:rsidRPr="00F36D9A"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15/F, Hip </w:t>
            </w:r>
            <w:proofErr w:type="spellStart"/>
            <w:r w:rsidRPr="00F36D9A">
              <w:rPr>
                <w:rStyle w:val="Hyperlink"/>
                <w:rFonts w:ascii="Arial" w:hAnsi="Arial" w:cs="Arial"/>
                <w:color w:val="6C6361"/>
                <w:sz w:val="20"/>
                <w:szCs w:val="20"/>
                <w:u w:val="none"/>
              </w:rPr>
              <w:t>Shing</w:t>
            </w:r>
            <w:proofErr w:type="spellEnd"/>
            <w:r w:rsidRPr="00F36D9A">
              <w:rPr>
                <w:rStyle w:val="Hyperlink"/>
                <w:rFonts w:ascii="Arial" w:hAnsi="Arial" w:cs="Arial"/>
                <w:color w:val="6C6361"/>
                <w:sz w:val="20"/>
                <w:szCs w:val="20"/>
                <w:u w:val="none"/>
              </w:rPr>
              <w:t xml:space="preserve"> Hong Centre</w:t>
            </w:r>
          </w:p>
          <w:p w:rsidR="009D63D5" w:rsidRPr="00F36D9A"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F36D9A">
              <w:rPr>
                <w:rStyle w:val="Hyperlink"/>
                <w:rFonts w:ascii="Arial" w:hAnsi="Arial" w:cs="Arial"/>
                <w:color w:val="6C6361"/>
                <w:sz w:val="20"/>
                <w:szCs w:val="20"/>
                <w:u w:val="none"/>
              </w:rPr>
              <w:t xml:space="preserve">55 Des </w:t>
            </w:r>
            <w:proofErr w:type="spellStart"/>
            <w:r w:rsidRPr="00F36D9A">
              <w:rPr>
                <w:rStyle w:val="Hyperlink"/>
                <w:rFonts w:ascii="Arial" w:hAnsi="Arial" w:cs="Arial"/>
                <w:color w:val="6C6361"/>
                <w:sz w:val="20"/>
                <w:szCs w:val="20"/>
                <w:u w:val="none"/>
              </w:rPr>
              <w:t>Voeux</w:t>
            </w:r>
            <w:proofErr w:type="spellEnd"/>
            <w:r w:rsidRPr="00F36D9A">
              <w:rPr>
                <w:rStyle w:val="Hyperlink"/>
                <w:rFonts w:ascii="Arial" w:hAnsi="Arial" w:cs="Arial"/>
                <w:color w:val="6C6361"/>
                <w:sz w:val="20"/>
                <w:szCs w:val="20"/>
                <w:u w:val="none"/>
              </w:rPr>
              <w:t xml:space="preserve"> Road Central</w:t>
            </w:r>
          </w:p>
          <w:p w:rsidR="009D63D5" w:rsidRPr="002343EF"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F36D9A">
              <w:rPr>
                <w:rStyle w:val="Hyperlink"/>
                <w:rFonts w:ascii="Arial" w:hAnsi="Arial" w:cs="Arial"/>
                <w:color w:val="6C6361"/>
                <w:sz w:val="20"/>
                <w:szCs w:val="20"/>
                <w:u w:val="none"/>
              </w:rPr>
              <w:t>Central, Hong Kong</w:t>
            </w:r>
            <w:r w:rsidRPr="00482956">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rsidR="009D63D5" w:rsidRPr="00334CAE" w:rsidRDefault="009D63D5" w:rsidP="00E5386C">
            <w:pPr>
              <w:jc w:val="right"/>
              <w:rPr>
                <w:rFonts w:ascii="Arial" w:hAnsi="Arial" w:cs="Arial"/>
                <w:b/>
                <w:color w:val="6C6361"/>
                <w:sz w:val="12"/>
                <w:szCs w:val="12"/>
              </w:rPr>
            </w:pPr>
            <w:r w:rsidRPr="00334CAE">
              <w:rPr>
                <w:rFonts w:ascii="Arial" w:hAnsi="Arial" w:cs="Arial"/>
                <w:b/>
                <w:noProof/>
                <w:color w:val="6C6361"/>
                <w:sz w:val="12"/>
                <w:szCs w:val="12"/>
              </w:rPr>
              <w:drawing>
                <wp:inline distT="0" distB="0" distL="0" distR="0" wp14:anchorId="268EFB4E" wp14:editId="564B9A4E">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9D63D5" w:rsidRPr="00334CAE" w:rsidRDefault="009D63D5" w:rsidP="00E5386C">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rsidR="009D63D5" w:rsidRPr="003A2A41"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rsidR="009D63D5" w:rsidRPr="003A2A41"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rsidR="009D63D5" w:rsidRPr="003A2A41"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6" w:history="1">
              <w:r w:rsidRPr="003A2A41">
                <w:rPr>
                  <w:rStyle w:val="Hyperlink"/>
                  <w:rFonts w:ascii="Arial" w:eastAsia="Times New Roman" w:hAnsi="Arial" w:cs="Arial"/>
                  <w:b/>
                  <w:noProof/>
                  <w:color w:val="6C6361"/>
                  <w:sz w:val="20"/>
                  <w:szCs w:val="20"/>
                  <w:u w:val="none"/>
                </w:rPr>
                <w:t>Contact Us</w:t>
              </w:r>
            </w:hyperlink>
          </w:p>
          <w:p w:rsidR="009D63D5" w:rsidRPr="003A2A41"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0" w:type="auto"/>
            <w:tcBorders>
              <w:top w:val="single" w:sz="12" w:space="0" w:color="F0EBE1"/>
              <w:left w:val="nil"/>
              <w:bottom w:val="nil"/>
              <w:right w:val="nil"/>
            </w:tcBorders>
            <w:shd w:val="clear" w:color="auto" w:fill="FFFFFF"/>
            <w:vAlign w:val="center"/>
          </w:tcPr>
          <w:p w:rsidR="009D63D5" w:rsidRPr="00156567" w:rsidRDefault="009D63D5" w:rsidP="00E538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eastAsia="Times New Roman" w:hAnsi="Arial" w:cs="Arial"/>
                <w:b/>
                <w:noProof/>
                <w:color w:val="6C6361"/>
              </w:rPr>
            </w:pPr>
            <w:r w:rsidRPr="0040036F">
              <w:rPr>
                <w:rFonts w:ascii="Arial" w:eastAsia="Times New Roman" w:hAnsi="Arial" w:cs="Arial"/>
                <w:b/>
                <w:noProof/>
                <w:color w:val="6C6361"/>
              </w:rPr>
              <w:drawing>
                <wp:inline distT="0" distB="0" distL="0" distR="0" wp14:anchorId="2D6B7A4E" wp14:editId="0F3FBF42">
                  <wp:extent cx="649605" cy="649605"/>
                  <wp:effectExtent l="0" t="0" r="0" b="0"/>
                  <wp:docPr id="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rsidR="00214BC6" w:rsidRPr="009D63D5" w:rsidRDefault="00214BC6" w:rsidP="009D63D5">
      <w:pPr>
        <w:rPr>
          <w:sz w:val="2"/>
          <w:szCs w:val="2"/>
        </w:rPr>
      </w:pPr>
    </w:p>
    <w:sectPr w:rsidR="00214BC6" w:rsidRPr="009D63D5" w:rsidSect="000F34E0">
      <w:headerReference w:type="default" r:id="rId18"/>
      <w:footerReference w:type="default" r:id="rId19"/>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60A" w:rsidRDefault="0090360A" w:rsidP="00546556">
      <w:r>
        <w:separator/>
      </w:r>
    </w:p>
  </w:endnote>
  <w:endnote w:type="continuationSeparator" w:id="0">
    <w:p w:rsidR="0090360A" w:rsidRDefault="0090360A"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rsidTr="00A775CE">
      <w:trPr>
        <w:trHeight w:val="1824"/>
        <w:jc w:val="center"/>
      </w:trPr>
      <w:tc>
        <w:tcPr>
          <w:tcW w:w="5954" w:type="dxa"/>
          <w:vAlign w:val="bottom"/>
        </w:tcPr>
        <w:p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rsidR="00197F64" w:rsidRPr="00EA2D57" w:rsidRDefault="00197F64" w:rsidP="00197F64">
          <w:pPr>
            <w:ind w:right="33"/>
            <w:jc w:val="center"/>
            <w:rPr>
              <w:rFonts w:ascii="Arial" w:hAnsi="Arial" w:cs="Arial"/>
              <w:color w:val="E4DCCA"/>
              <w:sz w:val="16"/>
              <w:szCs w:val="16"/>
            </w:rPr>
          </w:pPr>
        </w:p>
        <w:p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rsidR="00197F64" w:rsidRPr="00197F64" w:rsidRDefault="00197F64" w:rsidP="00197F64">
          <w:pPr>
            <w:tabs>
              <w:tab w:val="center" w:pos="2835"/>
              <w:tab w:val="center" w:pos="8505"/>
            </w:tabs>
            <w:jc w:val="center"/>
            <w:rPr>
              <w:rFonts w:ascii="Arial" w:hAnsi="Arial" w:cs="Arial"/>
              <w:color w:val="404040"/>
              <w:sz w:val="16"/>
              <w:szCs w:val="16"/>
            </w:rPr>
          </w:pP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60A" w:rsidRDefault="0090360A" w:rsidP="00546556">
      <w:r>
        <w:separator/>
      </w:r>
    </w:p>
  </w:footnote>
  <w:footnote w:type="continuationSeparator" w:id="0">
    <w:p w:rsidR="0090360A" w:rsidRDefault="0090360A" w:rsidP="00546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DC0" w:rsidRDefault="00F0384F">
    <w:pPr>
      <w:pStyle w:val="Header"/>
    </w:pPr>
    <w:r>
      <w:rPr>
        <w:noProof/>
      </w:rPr>
      <w:drawing>
        <wp:anchor distT="0" distB="0" distL="114300" distR="114300" simplePos="0" relativeHeight="251659264" behindDoc="1" locked="0" layoutInCell="1" allowOverlap="1">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324D7613"/>
    <w:multiLevelType w:val="hybridMultilevel"/>
    <w:tmpl w:val="4F6AE4CC"/>
    <w:lvl w:ilvl="0" w:tplc="01A8DEFE">
      <w:numFmt w:val="bullet"/>
      <w:lvlText w:val="-"/>
      <w:lvlJc w:val="left"/>
      <w:pPr>
        <w:ind w:left="720" w:hanging="360"/>
      </w:pPr>
      <w:rPr>
        <w:rFonts w:ascii="Arial" w:eastAsia="新細明體"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7EEA3B94"/>
    <w:multiLevelType w:val="hybridMultilevel"/>
    <w:tmpl w:val="A1BC54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gutterAtTop/>
  <w:proofState w:spelling="clean" w:grammar="clean"/>
  <w:documentProtection w:edit="forms" w:enforcement="1" w:cryptProviderType="rsaAES" w:cryptAlgorithmClass="hash" w:cryptAlgorithmType="typeAny" w:cryptAlgorithmSid="14" w:cryptSpinCount="100000" w:hash="/+GW6YjhyZ/zL2gXLL6jeFmgg39pzjydHVkGxKRLu04auRSJeepnnbv9KIpNsWlLUC+vKrsqyb8eFdA1wNu+WA==" w:salt="gHNDUuopZY8sFTpCeEXUUQ=="/>
  <w:defaultTabStop w:val="720"/>
  <w:drawingGridHorizontalSpacing w:val="110"/>
  <w:displayHorizontalDrawingGridEvery w:val="2"/>
  <w:characterSpacingControl w:val="doNotCompress"/>
  <w:hdrShapeDefaults>
    <o:shapedefaults v:ext="edit" spidmax="2049">
      <o:colormru v:ext="edit" colors="#f0ebe1,#554b48,#524b4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A8D"/>
    <w:rsid w:val="00021000"/>
    <w:rsid w:val="00021FE4"/>
    <w:rsid w:val="00027401"/>
    <w:rsid w:val="00027969"/>
    <w:rsid w:val="00027CA2"/>
    <w:rsid w:val="0003046E"/>
    <w:rsid w:val="0003061F"/>
    <w:rsid w:val="00030E06"/>
    <w:rsid w:val="0003227C"/>
    <w:rsid w:val="0003289F"/>
    <w:rsid w:val="00034C62"/>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11AA"/>
    <w:rsid w:val="00144B68"/>
    <w:rsid w:val="00146280"/>
    <w:rsid w:val="001506FB"/>
    <w:rsid w:val="00151FD4"/>
    <w:rsid w:val="00152736"/>
    <w:rsid w:val="00152CED"/>
    <w:rsid w:val="00153BCF"/>
    <w:rsid w:val="001543E8"/>
    <w:rsid w:val="001559FE"/>
    <w:rsid w:val="00157EEF"/>
    <w:rsid w:val="0016177F"/>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4227"/>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7FC5"/>
    <w:rsid w:val="00312048"/>
    <w:rsid w:val="00312AD5"/>
    <w:rsid w:val="00314A05"/>
    <w:rsid w:val="0031523F"/>
    <w:rsid w:val="00315617"/>
    <w:rsid w:val="003158A3"/>
    <w:rsid w:val="003171FF"/>
    <w:rsid w:val="00320840"/>
    <w:rsid w:val="00321474"/>
    <w:rsid w:val="00323202"/>
    <w:rsid w:val="00323269"/>
    <w:rsid w:val="0032520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1AA8"/>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505B"/>
    <w:rsid w:val="007A5561"/>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60A"/>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53BC"/>
    <w:rsid w:val="00927A3D"/>
    <w:rsid w:val="00927FDE"/>
    <w:rsid w:val="00930313"/>
    <w:rsid w:val="009321D1"/>
    <w:rsid w:val="00933B55"/>
    <w:rsid w:val="00933F88"/>
    <w:rsid w:val="00934584"/>
    <w:rsid w:val="00934D14"/>
    <w:rsid w:val="009356CB"/>
    <w:rsid w:val="00935D3E"/>
    <w:rsid w:val="00936FF5"/>
    <w:rsid w:val="0093714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3D5"/>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ebe1,#554b48,#524b48"/>
    </o:shapedefaults>
    <o:shapelayout v:ext="edit">
      <o:idmap v:ext="edit" data="1"/>
    </o:shapelayout>
  </w:shapeDefaults>
  <w:decimalSymbol w:val="."/>
  <w:listSeparator w:val=";"/>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mailto:marketing@profectiona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pd.hk/evt000000175/" TargetMode="External"/><Relationship Id="rId14" Type="http://schemas.openxmlformats.org/officeDocument/2006/relationships/hyperlink" Target="http://goo.gl/maps/DKYQ1"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8.emf"/><Relationship Id="rId1" Type="http://schemas.openxmlformats.org/officeDocument/2006/relationships/hyperlink" Target="http://www.profectional.com/" TargetMode="External"/><Relationship Id="rId6" Type="http://schemas.openxmlformats.org/officeDocument/2006/relationships/image" Target="media/image9.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36B93-0FAB-4C15-A7CE-B72B11333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Pages>
  <Words>418</Words>
  <Characters>2384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CPD Course: Introduction to Judicial Review</vt:lpstr>
    </vt:vector>
  </TitlesOfParts>
  <Manager>Tyrone Tsang</Manager>
  <Company>The Profectional Company Limited</Company>
  <LinksUpToDate>false</LinksUpToDate>
  <CharactersWithSpaces>2797</CharactersWithSpaces>
  <SharedDoc>false</SharedDoc>
  <HyperlinkBase>http://download.profectional.com/events/EVT000000175.docx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Procedural Impropriety as Grounds for Judicial Review</dc:title>
  <dc:subject>CPD Course: Procedural Impropriety as Grounds for Judicial Review</dc:subject>
  <dc:creator>The Profectional Company Limited</dc:creator>
  <cp:keywords>Profectional; Kornerstone; CPD; CPT; CLE; CE; RME; Stephen Thomson; Assistant Professor; The Chinese University of Hong Kong</cp:keywords>
  <cp:lastModifiedBy>Tyrone Tsang</cp:lastModifiedBy>
  <cp:revision>42</cp:revision>
  <cp:lastPrinted>2017-06-22T14:26:00Z</cp:lastPrinted>
  <dcterms:created xsi:type="dcterms:W3CDTF">2015-08-21T08:33:00Z</dcterms:created>
  <dcterms:modified xsi:type="dcterms:W3CDTF">2017-06-22T14:26:00Z</dcterms:modified>
</cp:coreProperties>
</file>