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53A3" w:rsidRPr="004E53A3" w:rsidRDefault="004E53A3" w:rsidP="004E53A3">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4E53A3" w:rsidRPr="00523A64" w:rsidTr="000E6B5F">
        <w:trPr>
          <w:trHeight w:val="3119"/>
          <w:jc w:val="center"/>
        </w:trPr>
        <w:tc>
          <w:tcPr>
            <w:tcW w:w="4797" w:type="dxa"/>
            <w:shd w:val="clear" w:color="auto" w:fill="FFFFFF"/>
            <w:vAlign w:val="center"/>
          </w:tcPr>
          <w:p w:rsidR="004E53A3" w:rsidRPr="001A3018" w:rsidRDefault="004E53A3" w:rsidP="000E6B5F">
            <w:pPr>
              <w:jc w:val="center"/>
              <w:rPr>
                <w:rFonts w:ascii="Arial" w:hAnsi="Arial" w:cs="Arial"/>
                <w:b/>
                <w:bCs/>
                <w:color w:val="524B48"/>
                <w:sz w:val="4"/>
                <w:szCs w:val="4"/>
              </w:rPr>
            </w:pPr>
          </w:p>
          <w:p w:rsidR="004E53A3" w:rsidRPr="007E02E6" w:rsidRDefault="004E53A3" w:rsidP="000E6B5F">
            <w:pPr>
              <w:jc w:val="center"/>
              <w:rPr>
                <w:rStyle w:val="Hyperlink"/>
                <w:rFonts w:ascii="Arial" w:hAnsi="Arial" w:cs="Arial"/>
                <w:b/>
                <w:bCs/>
                <w:i/>
                <w:color w:val="524B48"/>
                <w:sz w:val="32"/>
                <w:szCs w:val="32"/>
                <w:u w:val="none"/>
              </w:rPr>
            </w:pPr>
            <w:r w:rsidRPr="00CF685C">
              <w:fldChar w:fldCharType="begin"/>
            </w:r>
            <w:r>
              <w:instrText>HYPERLINK "http://cpd.hk/evt000000181/"</w:instrText>
            </w:r>
            <w:r w:rsidRPr="00CF685C">
              <w:fldChar w:fldCharType="separate"/>
            </w:r>
            <w:r w:rsidRPr="007E02E6">
              <w:rPr>
                <w:rStyle w:val="Hyperlink"/>
                <w:rFonts w:ascii="Arial" w:hAnsi="Arial" w:cs="Arial"/>
                <w:b/>
                <w:bCs/>
                <w:i/>
                <w:color w:val="524B48"/>
                <w:sz w:val="32"/>
                <w:szCs w:val="32"/>
                <w:u w:val="none"/>
              </w:rPr>
              <w:t>RME Elective:</w:t>
            </w:r>
          </w:p>
          <w:p w:rsidR="004E53A3" w:rsidRDefault="004E53A3" w:rsidP="000E6B5F">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Money Laundering</w:t>
            </w:r>
          </w:p>
          <w:p w:rsidR="004E53A3" w:rsidRDefault="004E53A3" w:rsidP="000E6B5F">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for Beginners:</w:t>
            </w:r>
          </w:p>
          <w:p w:rsidR="004E53A3" w:rsidRDefault="004E53A3" w:rsidP="000E6B5F">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An Introduction to</w:t>
            </w:r>
          </w:p>
          <w:p w:rsidR="004E53A3" w:rsidRDefault="004E53A3" w:rsidP="000E6B5F">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Anti-Money Laundering</w:t>
            </w:r>
          </w:p>
          <w:p w:rsidR="004E53A3" w:rsidRPr="00C65AFD" w:rsidRDefault="004E53A3" w:rsidP="000E6B5F">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rsidR="004E53A3" w:rsidRPr="00C65AFD" w:rsidRDefault="004E53A3" w:rsidP="000E6B5F">
            <w:pPr>
              <w:jc w:val="center"/>
              <w:rPr>
                <w:rFonts w:ascii="Arial" w:hAnsi="Arial" w:cs="Arial"/>
                <w:i/>
                <w:color w:val="6C6361"/>
                <w:sz w:val="24"/>
                <w:szCs w:val="24"/>
              </w:rPr>
            </w:pPr>
            <w:r w:rsidRPr="00C65AFD">
              <w:rPr>
                <w:rFonts w:ascii="Arial" w:hAnsi="Arial" w:cs="Arial"/>
                <w:i/>
                <w:color w:val="6C6361"/>
                <w:sz w:val="24"/>
                <w:szCs w:val="24"/>
              </w:rPr>
              <w:t>by</w:t>
            </w:r>
          </w:p>
          <w:p w:rsidR="004E53A3" w:rsidRDefault="004E53A3" w:rsidP="000E6B5F">
            <w:pPr>
              <w:jc w:val="center"/>
              <w:rPr>
                <w:rStyle w:val="Hyperlink"/>
                <w:rFonts w:ascii="Arial" w:hAnsi="Arial" w:cs="Arial"/>
                <w:color w:val="6C6361"/>
                <w:sz w:val="24"/>
                <w:szCs w:val="24"/>
                <w:u w:val="none"/>
              </w:rPr>
            </w:pPr>
            <w:hyperlink r:id="rId8" w:history="1">
              <w:r>
                <w:rPr>
                  <w:rStyle w:val="Hyperlink"/>
                  <w:rFonts w:ascii="Arial" w:hAnsi="Arial" w:cs="Arial"/>
                  <w:color w:val="6C6361"/>
                  <w:sz w:val="24"/>
                  <w:szCs w:val="24"/>
                  <w:u w:val="none"/>
                </w:rPr>
                <w:t>Prof. Steven Gallagher</w:t>
              </w:r>
            </w:hyperlink>
            <w:r>
              <w:rPr>
                <w:rStyle w:val="Hyperlink"/>
                <w:rFonts w:ascii="Arial" w:hAnsi="Arial" w:cs="Arial"/>
                <w:color w:val="6C6361"/>
                <w:sz w:val="24"/>
                <w:szCs w:val="24"/>
                <w:u w:val="none"/>
              </w:rPr>
              <w:t>,</w:t>
            </w:r>
          </w:p>
          <w:p w:rsidR="004E53A3" w:rsidRDefault="004E53A3" w:rsidP="000E6B5F">
            <w:pPr>
              <w:jc w:val="center"/>
              <w:rPr>
                <w:rFonts w:ascii="Arial" w:hAnsi="Arial" w:cs="Arial"/>
                <w:color w:val="6C6361"/>
                <w:sz w:val="24"/>
                <w:szCs w:val="24"/>
              </w:rPr>
            </w:pPr>
            <w:r w:rsidRPr="00BB7007">
              <w:rPr>
                <w:rFonts w:ascii="Arial" w:hAnsi="Arial" w:cs="Arial"/>
                <w:color w:val="6C6361"/>
                <w:sz w:val="24"/>
                <w:szCs w:val="24"/>
              </w:rPr>
              <w:t>Associat</w:t>
            </w:r>
            <w:r>
              <w:rPr>
                <w:rFonts w:ascii="Arial" w:hAnsi="Arial" w:cs="Arial"/>
                <w:color w:val="6C6361"/>
                <w:sz w:val="24"/>
                <w:szCs w:val="24"/>
              </w:rPr>
              <w:t>e Professor of Practice in Law,</w:t>
            </w:r>
          </w:p>
          <w:p w:rsidR="004E53A3" w:rsidRDefault="004E53A3" w:rsidP="000E6B5F">
            <w:pPr>
              <w:jc w:val="center"/>
              <w:rPr>
                <w:rFonts w:ascii="Arial" w:hAnsi="Arial" w:cs="Arial"/>
                <w:color w:val="6C6361"/>
                <w:sz w:val="24"/>
                <w:szCs w:val="24"/>
              </w:rPr>
            </w:pPr>
            <w:r w:rsidRPr="00BB7007">
              <w:rPr>
                <w:rFonts w:ascii="Arial" w:hAnsi="Arial" w:cs="Arial"/>
                <w:color w:val="6C6361"/>
                <w:sz w:val="24"/>
                <w:szCs w:val="24"/>
              </w:rPr>
              <w:t>Associ</w:t>
            </w:r>
            <w:r>
              <w:rPr>
                <w:rFonts w:ascii="Arial" w:hAnsi="Arial" w:cs="Arial"/>
                <w:color w:val="6C6361"/>
                <w:sz w:val="24"/>
                <w:szCs w:val="24"/>
              </w:rPr>
              <w:t>ate Dean (Teaching &amp; Learning),</w:t>
            </w:r>
          </w:p>
          <w:p w:rsidR="004E53A3" w:rsidRDefault="004E53A3" w:rsidP="000E6B5F">
            <w:pPr>
              <w:jc w:val="center"/>
              <w:rPr>
                <w:rFonts w:ascii="Arial" w:hAnsi="Arial" w:cs="Arial"/>
                <w:color w:val="6C6361"/>
                <w:sz w:val="24"/>
                <w:szCs w:val="24"/>
              </w:rPr>
            </w:pPr>
            <w:r>
              <w:rPr>
                <w:rFonts w:ascii="Arial" w:hAnsi="Arial" w:cs="Arial"/>
                <w:color w:val="6C6361"/>
                <w:sz w:val="24"/>
                <w:szCs w:val="24"/>
              </w:rPr>
              <w:t>The Faculty of Law,</w:t>
            </w:r>
          </w:p>
          <w:p w:rsidR="004E53A3" w:rsidRPr="007E02E6" w:rsidRDefault="004E53A3" w:rsidP="000E6B5F">
            <w:pPr>
              <w:jc w:val="center"/>
              <w:rPr>
                <w:rFonts w:ascii="Arial" w:hAnsi="Arial" w:cs="Arial"/>
                <w:color w:val="6C6361"/>
                <w:sz w:val="24"/>
                <w:szCs w:val="24"/>
              </w:rPr>
            </w:pPr>
            <w:r w:rsidRPr="00BB7007">
              <w:rPr>
                <w:rFonts w:ascii="Arial" w:hAnsi="Arial" w:cs="Arial"/>
                <w:color w:val="6C6361"/>
                <w:sz w:val="24"/>
                <w:szCs w:val="24"/>
              </w:rPr>
              <w:t>The Chinese University of Hong Kong</w:t>
            </w:r>
          </w:p>
          <w:p w:rsidR="004E53A3" w:rsidRPr="00D87ECF" w:rsidRDefault="004E53A3" w:rsidP="000E6B5F">
            <w:pPr>
              <w:jc w:val="center"/>
              <w:rPr>
                <w:rFonts w:ascii="Arial" w:hAnsi="Arial" w:cs="Arial"/>
                <w:color w:val="6C6361"/>
                <w:sz w:val="8"/>
                <w:szCs w:val="8"/>
              </w:rPr>
            </w:pPr>
          </w:p>
        </w:tc>
        <w:tc>
          <w:tcPr>
            <w:tcW w:w="5976" w:type="dxa"/>
            <w:shd w:val="clear" w:color="auto" w:fill="FFFFFF"/>
            <w:vAlign w:val="center"/>
          </w:tcPr>
          <w:p w:rsidR="004E53A3" w:rsidRPr="00D50772" w:rsidRDefault="004E53A3" w:rsidP="000E6B5F">
            <w:pPr>
              <w:spacing w:line="276" w:lineRule="auto"/>
              <w:rPr>
                <w:rFonts w:ascii="Arial" w:eastAsia="Times New Roman" w:hAnsi="Arial" w:cs="Arial"/>
                <w:noProof/>
                <w:sz w:val="20"/>
                <w:szCs w:val="20"/>
              </w:rPr>
            </w:pPr>
            <w:r w:rsidRPr="002E62B7">
              <w:rPr>
                <w:rStyle w:val="Hyperlink"/>
                <w:rFonts w:ascii="Arial" w:hAnsi="Arial" w:cs="Arial"/>
                <w:b/>
                <w:bCs/>
                <w:noProof/>
                <w:color w:val="524B48"/>
                <w:sz w:val="32"/>
                <w:szCs w:val="32"/>
                <w:u w:val="none"/>
              </w:rPr>
              <w:drawing>
                <wp:anchor distT="0" distB="0" distL="114300" distR="114300" simplePos="0" relativeHeight="251659264" behindDoc="0" locked="0" layoutInCell="1" allowOverlap="1" wp14:anchorId="23582F6B" wp14:editId="091FF3C4">
                  <wp:simplePos x="0" y="0"/>
                  <wp:positionH relativeFrom="column">
                    <wp:posOffset>3174365</wp:posOffset>
                  </wp:positionH>
                  <wp:positionV relativeFrom="paragraph">
                    <wp:posOffset>-311785</wp:posOffset>
                  </wp:positionV>
                  <wp:extent cx="539750" cy="546735"/>
                  <wp:effectExtent l="0" t="0" r="0" b="5715"/>
                  <wp:wrapNone/>
                  <wp:docPr id="9" name="Picture 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29D75C27" wp14:editId="45F7159D">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4E53A3" w:rsidRPr="00EA6ED0" w:rsidRDefault="004E53A3" w:rsidP="004E53A3">
      <w:pPr>
        <w:spacing w:line="276" w:lineRule="auto"/>
        <w:jc w:val="left"/>
        <w:rPr>
          <w:rFonts w:ascii="Arial" w:hAnsi="Arial" w:cs="Arial"/>
          <w:sz w:val="16"/>
          <w:szCs w:val="20"/>
        </w:rPr>
      </w:pPr>
    </w:p>
    <w:tbl>
      <w:tblPr>
        <w:tblW w:w="10773"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0773"/>
      </w:tblGrid>
      <w:tr w:rsidR="004E53A3" w:rsidRPr="002909DB" w:rsidTr="000E6B5F">
        <w:trPr>
          <w:trHeight w:val="2722"/>
          <w:jc w:val="center"/>
        </w:trPr>
        <w:tc>
          <w:tcPr>
            <w:tcW w:w="10773" w:type="dxa"/>
            <w:tcBorders>
              <w:top w:val="nil"/>
              <w:left w:val="nil"/>
              <w:bottom w:val="nil"/>
              <w:right w:val="nil"/>
            </w:tcBorders>
            <w:shd w:val="clear" w:color="auto" w:fill="FFFFFF"/>
            <w:vAlign w:val="center"/>
          </w:tcPr>
          <w:p w:rsidR="004E53A3" w:rsidRPr="002909DB" w:rsidRDefault="004E53A3" w:rsidP="000E6B5F">
            <w:pPr>
              <w:spacing w:line="276" w:lineRule="auto"/>
              <w:rPr>
                <w:rFonts w:ascii="Arial" w:hAnsi="Arial" w:cs="Arial"/>
                <w:i/>
                <w:color w:val="6C6361"/>
                <w:sz w:val="19"/>
                <w:szCs w:val="19"/>
              </w:rPr>
            </w:pPr>
            <w:hyperlink r:id="rId12" w:history="1">
              <w:r w:rsidRPr="002909DB">
                <w:rPr>
                  <w:rStyle w:val="Hyperlink"/>
                  <w:rFonts w:ascii="Arial" w:hAnsi="Arial" w:cs="Arial"/>
                  <w:b/>
                  <w:color w:val="6C6361"/>
                  <w:sz w:val="19"/>
                  <w:szCs w:val="19"/>
                  <w:u w:val="none"/>
                </w:rPr>
                <w:t>Prof. Steven Gallagher</w:t>
              </w:r>
            </w:hyperlink>
          </w:p>
          <w:p w:rsidR="004E53A3" w:rsidRPr="002909DB" w:rsidRDefault="004E53A3" w:rsidP="000E6B5F">
            <w:pPr>
              <w:spacing w:line="276" w:lineRule="auto"/>
              <w:rPr>
                <w:rFonts w:ascii="Arial" w:hAnsi="Arial" w:cs="Arial"/>
                <w:i/>
                <w:color w:val="6C6361"/>
                <w:sz w:val="19"/>
                <w:szCs w:val="19"/>
              </w:rPr>
            </w:pPr>
            <w:r w:rsidRPr="002909DB">
              <w:rPr>
                <w:rFonts w:ascii="Arial" w:hAnsi="Arial" w:cs="Arial"/>
                <w:i/>
                <w:color w:val="6C6361"/>
                <w:sz w:val="19"/>
                <w:szCs w:val="19"/>
              </w:rPr>
              <w:t>Associate Professor of Practice in Law, Associate Dean (Teaching &amp; Learning),</w:t>
            </w:r>
          </w:p>
          <w:p w:rsidR="004E53A3" w:rsidRPr="002909DB" w:rsidRDefault="004E53A3" w:rsidP="000E6B5F">
            <w:pPr>
              <w:spacing w:line="276" w:lineRule="auto"/>
              <w:rPr>
                <w:rFonts w:ascii="Arial" w:hAnsi="Arial" w:cs="Arial"/>
                <w:i/>
                <w:color w:val="6C6361"/>
                <w:sz w:val="19"/>
                <w:szCs w:val="19"/>
              </w:rPr>
            </w:pPr>
            <w:r w:rsidRPr="002909DB">
              <w:rPr>
                <w:rFonts w:ascii="Arial" w:hAnsi="Arial" w:cs="Arial"/>
                <w:i/>
                <w:color w:val="6C6361"/>
                <w:sz w:val="19"/>
                <w:szCs w:val="19"/>
              </w:rPr>
              <w:t>The Faculty of Law, The Chinese University of Hong Kong</w:t>
            </w:r>
          </w:p>
          <w:p w:rsidR="004E53A3" w:rsidRPr="002909DB" w:rsidRDefault="004E53A3" w:rsidP="000E6B5F">
            <w:pPr>
              <w:spacing w:line="276" w:lineRule="auto"/>
              <w:rPr>
                <w:rFonts w:ascii="Arial" w:hAnsi="Arial" w:cs="Arial"/>
                <w:color w:val="6C6361"/>
                <w:sz w:val="8"/>
                <w:szCs w:val="8"/>
              </w:rPr>
            </w:pPr>
          </w:p>
          <w:p w:rsidR="004E53A3" w:rsidRPr="002909DB" w:rsidRDefault="004E53A3" w:rsidP="000E6B5F">
            <w:pPr>
              <w:spacing w:line="276" w:lineRule="auto"/>
              <w:rPr>
                <w:rFonts w:ascii="Arial" w:hAnsi="Arial" w:cs="Arial"/>
                <w:color w:val="6C6361"/>
                <w:sz w:val="19"/>
                <w:szCs w:val="19"/>
              </w:rPr>
            </w:pPr>
            <w:r w:rsidRPr="002909DB">
              <w:rPr>
                <w:rFonts w:ascii="Arial" w:hAnsi="Arial" w:cs="Arial"/>
                <w:color w:val="6C6361"/>
                <w:sz w:val="19"/>
                <w:szCs w:val="19"/>
              </w:rPr>
              <w:t xml:space="preserve">Steven Gallagher was awarded a first class LL.B. He was called to the Bar of England and Wales in 2006. Steven has taught Equity and Trusts, Land Law and Company Law to undergraduates and International Corporate Liquidation and International Corporate Governance to postgraduates in England and Hong Kong. Steven teaches the Equity and Trusts courses for undergraduate students, the Principles of Equity and Trusts course on the Juris Doctor course and, in 2013, introduced the Principles of Cultural Heritage Law course to the LLM </w:t>
            </w:r>
            <w:proofErr w:type="spellStart"/>
            <w:r w:rsidRPr="002909DB">
              <w:rPr>
                <w:rFonts w:ascii="Arial" w:hAnsi="Arial" w:cs="Arial"/>
                <w:color w:val="6C6361"/>
                <w:sz w:val="19"/>
                <w:szCs w:val="19"/>
              </w:rPr>
              <w:t>programme</w:t>
            </w:r>
            <w:proofErr w:type="spellEnd"/>
            <w:r w:rsidRPr="002909DB">
              <w:rPr>
                <w:rFonts w:ascii="Arial" w:hAnsi="Arial" w:cs="Arial"/>
                <w:color w:val="6C6361"/>
                <w:sz w:val="19"/>
                <w:szCs w:val="19"/>
              </w:rPr>
              <w:t xml:space="preserve"> at the Chinese University of Hong Kong. Steven has presented continuing professional development courses for solicitors in Hong Kong on many topics associated with equity. Steven’s research interests include equity and the law of trusts, cultural heritage law and legal history.</w:t>
            </w:r>
          </w:p>
        </w:tc>
      </w:tr>
    </w:tbl>
    <w:p w:rsidR="004E53A3" w:rsidRPr="00EA6ED0" w:rsidRDefault="004E53A3" w:rsidP="004E53A3">
      <w:pPr>
        <w:spacing w:line="276" w:lineRule="auto"/>
        <w:jc w:val="left"/>
        <w:rPr>
          <w:rFonts w:ascii="Arial" w:hAnsi="Arial" w:cs="Arial"/>
          <w:sz w:val="16"/>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9072"/>
        <w:gridCol w:w="1701"/>
      </w:tblGrid>
      <w:tr w:rsidR="004E53A3" w:rsidRPr="002909DB" w:rsidTr="000E6B5F">
        <w:trPr>
          <w:trHeight w:val="1871"/>
          <w:jc w:val="center"/>
        </w:trPr>
        <w:tc>
          <w:tcPr>
            <w:tcW w:w="10773" w:type="dxa"/>
            <w:gridSpan w:val="2"/>
            <w:tcBorders>
              <w:top w:val="nil"/>
              <w:bottom w:val="nil"/>
            </w:tcBorders>
            <w:shd w:val="clear" w:color="auto" w:fill="FFFFFF" w:themeFill="background1"/>
            <w:vAlign w:val="center"/>
          </w:tcPr>
          <w:p w:rsidR="004E53A3" w:rsidRPr="002909DB" w:rsidRDefault="004E53A3" w:rsidP="000E6B5F">
            <w:pPr>
              <w:spacing w:line="276" w:lineRule="auto"/>
              <w:rPr>
                <w:rFonts w:ascii="Arial" w:hAnsi="Arial" w:cs="Arial"/>
                <w:color w:val="6C6361"/>
                <w:sz w:val="19"/>
                <w:szCs w:val="19"/>
              </w:rPr>
            </w:pPr>
            <w:r w:rsidRPr="002909DB">
              <w:rPr>
                <w:rFonts w:ascii="Arial" w:hAnsi="Arial" w:cs="Arial"/>
                <w:color w:val="6C6361"/>
                <w:sz w:val="19"/>
                <w:szCs w:val="19"/>
              </w:rPr>
              <w:t xml:space="preserve">In recent international reports on financial crime and combatting money laundering Hong Kong has been labelled a </w:t>
            </w:r>
            <w:proofErr w:type="spellStart"/>
            <w:r w:rsidRPr="002909DB">
              <w:rPr>
                <w:rFonts w:ascii="Arial" w:hAnsi="Arial" w:cs="Arial"/>
                <w:color w:val="6C6361"/>
                <w:sz w:val="19"/>
                <w:szCs w:val="19"/>
              </w:rPr>
              <w:t>centre</w:t>
            </w:r>
            <w:proofErr w:type="spellEnd"/>
            <w:r w:rsidRPr="002909DB">
              <w:rPr>
                <w:rFonts w:ascii="Arial" w:hAnsi="Arial" w:cs="Arial"/>
                <w:color w:val="6C6361"/>
                <w:sz w:val="19"/>
                <w:szCs w:val="19"/>
              </w:rPr>
              <w:t xml:space="preserve"> for money laundering.  This 3-hour seminar will provide an introduction to the </w:t>
            </w:r>
            <w:proofErr w:type="spellStart"/>
            <w:r w:rsidRPr="002909DB">
              <w:rPr>
                <w:rFonts w:ascii="Arial" w:hAnsi="Arial" w:cs="Arial"/>
                <w:color w:val="6C6361"/>
                <w:sz w:val="19"/>
                <w:szCs w:val="19"/>
              </w:rPr>
              <w:t>criminalising</w:t>
            </w:r>
            <w:proofErr w:type="spellEnd"/>
            <w:r w:rsidRPr="002909DB">
              <w:rPr>
                <w:rFonts w:ascii="Arial" w:hAnsi="Arial" w:cs="Arial"/>
                <w:color w:val="6C6361"/>
                <w:sz w:val="19"/>
                <w:szCs w:val="19"/>
              </w:rPr>
              <w:t xml:space="preserve"> of money laundering internationally and in Hong Kong.  The origins of the offence of money laundering will be considered and the measures that have been introduced to combat money laundering and terrorist funding.  Money laundering is a relatively recent criminal offence in Hong Kong and the criticism of anti-money laundering (AML) and counter-terrorist funding (CTF also known as anti-terrorist funding (ATF)) practices in Hong Kong will be discussed.  The seminar will conclude with discussion of possible changes to anti-money laundering legislation and regulation in Hong Kong.</w:t>
            </w:r>
          </w:p>
        </w:tc>
      </w:tr>
      <w:tr w:rsidR="004E53A3" w:rsidRPr="002909DB" w:rsidTr="000E6B5F">
        <w:trPr>
          <w:trHeight w:val="284"/>
          <w:jc w:val="center"/>
        </w:trPr>
        <w:tc>
          <w:tcPr>
            <w:tcW w:w="10773" w:type="dxa"/>
            <w:gridSpan w:val="2"/>
            <w:tcBorders>
              <w:top w:val="nil"/>
              <w:bottom w:val="nil"/>
              <w:right w:val="nil"/>
            </w:tcBorders>
            <w:shd w:val="clear" w:color="auto" w:fill="F0EBE1"/>
            <w:vAlign w:val="center"/>
          </w:tcPr>
          <w:p w:rsidR="004E53A3" w:rsidRPr="002909DB" w:rsidRDefault="004E53A3" w:rsidP="000E6B5F">
            <w:pPr>
              <w:spacing w:line="276" w:lineRule="auto"/>
              <w:rPr>
                <w:rFonts w:ascii="Arial" w:hAnsi="Arial" w:cs="Arial"/>
                <w:b/>
                <w:color w:val="524B48"/>
                <w:sz w:val="19"/>
                <w:szCs w:val="19"/>
              </w:rPr>
            </w:pPr>
            <w:r w:rsidRPr="002909DB">
              <w:rPr>
                <w:rFonts w:ascii="Arial" w:hAnsi="Arial" w:cs="Arial"/>
                <w:b/>
                <w:color w:val="524B48"/>
                <w:sz w:val="19"/>
                <w:szCs w:val="19"/>
              </w:rPr>
              <w:t>Some of the topics considered in this seminar will be:</w:t>
            </w:r>
          </w:p>
        </w:tc>
      </w:tr>
      <w:tr w:rsidR="004E53A3" w:rsidRPr="002909DB" w:rsidTr="000E6B5F">
        <w:trPr>
          <w:trHeight w:val="1814"/>
          <w:jc w:val="center"/>
        </w:trPr>
        <w:tc>
          <w:tcPr>
            <w:tcW w:w="9072" w:type="dxa"/>
            <w:tcBorders>
              <w:top w:val="nil"/>
              <w:bottom w:val="nil"/>
              <w:right w:val="nil"/>
            </w:tcBorders>
            <w:shd w:val="clear" w:color="auto" w:fill="FFFFFF" w:themeFill="background1"/>
            <w:vAlign w:val="center"/>
          </w:tcPr>
          <w:p w:rsidR="004E53A3" w:rsidRPr="002909DB" w:rsidRDefault="004E53A3" w:rsidP="000E6B5F">
            <w:pPr>
              <w:pStyle w:val="ListParagraph"/>
              <w:numPr>
                <w:ilvl w:val="0"/>
                <w:numId w:val="1"/>
              </w:numPr>
              <w:spacing w:line="276" w:lineRule="auto"/>
              <w:rPr>
                <w:rFonts w:ascii="Arial" w:hAnsi="Arial" w:cs="Arial"/>
                <w:color w:val="6C6361"/>
                <w:sz w:val="19"/>
                <w:szCs w:val="19"/>
              </w:rPr>
            </w:pPr>
            <w:r w:rsidRPr="002909DB">
              <w:rPr>
                <w:rFonts w:ascii="Arial" w:hAnsi="Arial" w:cs="Arial"/>
                <w:color w:val="6C6361"/>
                <w:sz w:val="19"/>
                <w:szCs w:val="19"/>
              </w:rPr>
              <w:t>What is money laundering?</w:t>
            </w:r>
          </w:p>
          <w:p w:rsidR="004E53A3" w:rsidRPr="002909DB" w:rsidRDefault="004E53A3" w:rsidP="000E6B5F">
            <w:pPr>
              <w:pStyle w:val="ListParagraph"/>
              <w:numPr>
                <w:ilvl w:val="0"/>
                <w:numId w:val="1"/>
              </w:numPr>
              <w:spacing w:line="276" w:lineRule="auto"/>
              <w:rPr>
                <w:rFonts w:ascii="Arial" w:hAnsi="Arial" w:cs="Arial"/>
                <w:color w:val="6C6361"/>
                <w:sz w:val="19"/>
                <w:szCs w:val="19"/>
              </w:rPr>
            </w:pPr>
            <w:r w:rsidRPr="002909DB">
              <w:rPr>
                <w:rFonts w:ascii="Arial" w:hAnsi="Arial" w:cs="Arial"/>
                <w:color w:val="6C6361"/>
                <w:sz w:val="19"/>
                <w:szCs w:val="19"/>
              </w:rPr>
              <w:t>Where did the offence originate and why?</w:t>
            </w:r>
          </w:p>
          <w:p w:rsidR="004E53A3" w:rsidRPr="002909DB" w:rsidRDefault="004E53A3" w:rsidP="000E6B5F">
            <w:pPr>
              <w:pStyle w:val="ListParagraph"/>
              <w:numPr>
                <w:ilvl w:val="0"/>
                <w:numId w:val="1"/>
              </w:numPr>
              <w:spacing w:line="276" w:lineRule="auto"/>
              <w:rPr>
                <w:rFonts w:ascii="Arial" w:hAnsi="Arial" w:cs="Arial"/>
                <w:color w:val="6C6361"/>
                <w:sz w:val="19"/>
                <w:szCs w:val="19"/>
              </w:rPr>
            </w:pPr>
            <w:r w:rsidRPr="002909DB">
              <w:rPr>
                <w:rFonts w:ascii="Arial" w:hAnsi="Arial" w:cs="Arial"/>
                <w:color w:val="6C6361"/>
                <w:sz w:val="19"/>
                <w:szCs w:val="19"/>
              </w:rPr>
              <w:t>International and domestic measures intended to combat money laundering;</w:t>
            </w:r>
          </w:p>
          <w:p w:rsidR="004E53A3" w:rsidRPr="002909DB" w:rsidRDefault="004E53A3" w:rsidP="000E6B5F">
            <w:pPr>
              <w:pStyle w:val="ListParagraph"/>
              <w:numPr>
                <w:ilvl w:val="0"/>
                <w:numId w:val="1"/>
              </w:numPr>
              <w:spacing w:line="276" w:lineRule="auto"/>
              <w:rPr>
                <w:rFonts w:ascii="Arial" w:hAnsi="Arial" w:cs="Arial"/>
                <w:color w:val="6C6361"/>
                <w:sz w:val="19"/>
                <w:szCs w:val="19"/>
              </w:rPr>
            </w:pPr>
            <w:r w:rsidRPr="002909DB">
              <w:rPr>
                <w:rFonts w:ascii="Arial" w:hAnsi="Arial" w:cs="Arial"/>
                <w:color w:val="6C6361"/>
                <w:sz w:val="19"/>
                <w:szCs w:val="19"/>
              </w:rPr>
              <w:t>High profile cases of money laundering involving persons and institutions linked to Hong Kong;</w:t>
            </w:r>
          </w:p>
          <w:p w:rsidR="004E53A3" w:rsidRPr="002909DB" w:rsidRDefault="004E53A3" w:rsidP="000E6B5F">
            <w:pPr>
              <w:pStyle w:val="ListParagraph"/>
              <w:numPr>
                <w:ilvl w:val="0"/>
                <w:numId w:val="1"/>
              </w:numPr>
              <w:spacing w:line="276" w:lineRule="auto"/>
              <w:rPr>
                <w:rFonts w:ascii="Arial" w:hAnsi="Arial" w:cs="Arial"/>
                <w:color w:val="6C6361"/>
                <w:sz w:val="19"/>
                <w:szCs w:val="19"/>
              </w:rPr>
            </w:pPr>
            <w:r w:rsidRPr="002909DB">
              <w:rPr>
                <w:rFonts w:ascii="Arial" w:hAnsi="Arial" w:cs="Arial"/>
                <w:color w:val="6C6361"/>
                <w:sz w:val="19"/>
                <w:szCs w:val="19"/>
              </w:rPr>
              <w:t>Recent decisions of the courts of Hong Kong;</w:t>
            </w:r>
          </w:p>
          <w:p w:rsidR="004E53A3" w:rsidRPr="002909DB" w:rsidRDefault="004E53A3" w:rsidP="000E6B5F">
            <w:pPr>
              <w:pStyle w:val="ListParagraph"/>
              <w:numPr>
                <w:ilvl w:val="0"/>
                <w:numId w:val="1"/>
              </w:numPr>
              <w:spacing w:line="276" w:lineRule="auto"/>
              <w:rPr>
                <w:rFonts w:ascii="Arial" w:hAnsi="Arial" w:cs="Arial"/>
                <w:color w:val="6C6361"/>
                <w:sz w:val="19"/>
                <w:szCs w:val="19"/>
              </w:rPr>
            </w:pPr>
            <w:r w:rsidRPr="002909DB">
              <w:rPr>
                <w:rFonts w:ascii="Arial" w:hAnsi="Arial" w:cs="Arial"/>
                <w:color w:val="6C6361"/>
                <w:sz w:val="19"/>
                <w:szCs w:val="19"/>
              </w:rPr>
              <w:t>The problems with AML and CTF in Hong Kong;</w:t>
            </w:r>
          </w:p>
          <w:p w:rsidR="004E53A3" w:rsidRPr="002909DB" w:rsidRDefault="004E53A3" w:rsidP="000E6B5F">
            <w:pPr>
              <w:pStyle w:val="ListParagraph"/>
              <w:numPr>
                <w:ilvl w:val="0"/>
                <w:numId w:val="1"/>
              </w:numPr>
              <w:spacing w:line="276" w:lineRule="auto"/>
              <w:rPr>
                <w:rFonts w:ascii="Arial" w:hAnsi="Arial" w:cs="Arial"/>
                <w:color w:val="6C6361"/>
                <w:sz w:val="19"/>
                <w:szCs w:val="19"/>
              </w:rPr>
            </w:pPr>
            <w:r w:rsidRPr="002909DB">
              <w:rPr>
                <w:rFonts w:ascii="Arial" w:hAnsi="Arial" w:cs="Arial"/>
                <w:color w:val="6C6361"/>
                <w:sz w:val="19"/>
                <w:szCs w:val="19"/>
              </w:rPr>
              <w:t>Possible changes to AML and CTF in Hong Kong.</w:t>
            </w:r>
          </w:p>
        </w:tc>
        <w:tc>
          <w:tcPr>
            <w:tcW w:w="1701" w:type="dxa"/>
            <w:tcBorders>
              <w:top w:val="nil"/>
              <w:left w:val="nil"/>
              <w:bottom w:val="nil"/>
            </w:tcBorders>
            <w:shd w:val="clear" w:color="auto" w:fill="FFFFFF" w:themeFill="background1"/>
            <w:vAlign w:val="center"/>
          </w:tcPr>
          <w:p w:rsidR="004E53A3" w:rsidRPr="002909DB" w:rsidRDefault="004E53A3" w:rsidP="000E6B5F">
            <w:pPr>
              <w:spacing w:line="276" w:lineRule="auto"/>
              <w:jc w:val="center"/>
              <w:rPr>
                <w:rFonts w:ascii="Arial" w:hAnsi="Arial" w:cs="Arial"/>
                <w:color w:val="6C6361"/>
                <w:sz w:val="19"/>
                <w:szCs w:val="19"/>
              </w:rPr>
            </w:pPr>
            <w:r w:rsidRPr="002E62B7">
              <w:rPr>
                <w:rFonts w:ascii="Arial" w:hAnsi="Arial" w:cs="Arial"/>
                <w:noProof/>
                <w:color w:val="6C6361"/>
                <w:sz w:val="19"/>
                <w:szCs w:val="19"/>
              </w:rPr>
              <w:drawing>
                <wp:inline distT="0" distB="0" distL="0" distR="0" wp14:anchorId="330512E2" wp14:editId="64B242B0">
                  <wp:extent cx="892800" cy="101880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800" cy="1018800"/>
                          </a:xfrm>
                          <a:prstGeom prst="rect">
                            <a:avLst/>
                          </a:prstGeom>
                          <a:noFill/>
                          <a:ln>
                            <a:noFill/>
                          </a:ln>
                        </pic:spPr>
                      </pic:pic>
                    </a:graphicData>
                  </a:graphic>
                </wp:inline>
              </w:drawing>
            </w:r>
          </w:p>
        </w:tc>
      </w:tr>
    </w:tbl>
    <w:p w:rsidR="004E53A3" w:rsidRPr="00EA6ED0" w:rsidRDefault="004E53A3" w:rsidP="004E53A3">
      <w:pPr>
        <w:spacing w:line="276" w:lineRule="auto"/>
        <w:rPr>
          <w:rFonts w:ascii="Arial" w:hAnsi="Arial" w:cs="Arial"/>
          <w:sz w:val="16"/>
          <w:szCs w:val="18"/>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695"/>
        <w:gridCol w:w="2880"/>
        <w:gridCol w:w="794"/>
        <w:gridCol w:w="1700"/>
        <w:gridCol w:w="2464"/>
        <w:gridCol w:w="1239"/>
      </w:tblGrid>
      <w:tr w:rsidR="004E53A3" w:rsidRPr="00320F79" w:rsidTr="000E6B5F">
        <w:trPr>
          <w:trHeight w:val="284"/>
          <w:jc w:val="center"/>
        </w:trPr>
        <w:tc>
          <w:tcPr>
            <w:tcW w:w="1701" w:type="dxa"/>
            <w:tcBorders>
              <w:top w:val="nil"/>
              <w:left w:val="nil"/>
              <w:bottom w:val="single" w:sz="12" w:space="0" w:color="FFFFFF"/>
            </w:tcBorders>
            <w:shd w:val="clear" w:color="auto" w:fill="F0EBE1"/>
            <w:vAlign w:val="center"/>
          </w:tcPr>
          <w:p w:rsidR="004E53A3" w:rsidRPr="00320F79" w:rsidRDefault="004E53A3" w:rsidP="000E6B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4E53A3" w:rsidRPr="00320F79" w:rsidRDefault="004E53A3" w:rsidP="000E6B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EVT000000181</w:t>
            </w:r>
          </w:p>
        </w:tc>
        <w:tc>
          <w:tcPr>
            <w:tcW w:w="1701" w:type="dxa"/>
            <w:tcBorders>
              <w:top w:val="nil"/>
              <w:bottom w:val="single" w:sz="12" w:space="0" w:color="FFFFFF"/>
            </w:tcBorders>
            <w:shd w:val="clear" w:color="auto" w:fill="F0EBE1"/>
            <w:vAlign w:val="center"/>
          </w:tcPr>
          <w:p w:rsidR="004E53A3" w:rsidRPr="00320F79" w:rsidRDefault="004E53A3" w:rsidP="000E6B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4E53A3" w:rsidRPr="00320F79" w:rsidRDefault="004E53A3" w:rsidP="000E6B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Advanced</w:t>
            </w:r>
          </w:p>
        </w:tc>
      </w:tr>
      <w:tr w:rsidR="004E53A3" w:rsidRPr="00320F79" w:rsidTr="000E6B5F">
        <w:trPr>
          <w:trHeight w:val="284"/>
          <w:jc w:val="center"/>
        </w:trPr>
        <w:tc>
          <w:tcPr>
            <w:tcW w:w="1701" w:type="dxa"/>
            <w:tcBorders>
              <w:top w:val="single" w:sz="12" w:space="0" w:color="FFFFFF"/>
              <w:left w:val="nil"/>
              <w:bottom w:val="single" w:sz="12" w:space="0" w:color="FFFFFF"/>
            </w:tcBorders>
            <w:shd w:val="clear" w:color="auto" w:fill="F0EBE1"/>
            <w:vAlign w:val="center"/>
          </w:tcPr>
          <w:p w:rsidR="004E53A3" w:rsidRPr="00320F79" w:rsidRDefault="004E53A3" w:rsidP="000E6B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4E53A3" w:rsidRPr="00320F79" w:rsidRDefault="004E53A3" w:rsidP="000E6B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29 May 2017 (Monday)</w:t>
            </w:r>
          </w:p>
        </w:tc>
        <w:tc>
          <w:tcPr>
            <w:tcW w:w="1701" w:type="dxa"/>
            <w:tcBorders>
              <w:top w:val="single" w:sz="12" w:space="0" w:color="FFFFFF"/>
              <w:bottom w:val="single" w:sz="12" w:space="0" w:color="FFFFFF"/>
            </w:tcBorders>
            <w:shd w:val="clear" w:color="auto" w:fill="F0EBE1"/>
            <w:vAlign w:val="center"/>
          </w:tcPr>
          <w:p w:rsidR="004E53A3" w:rsidRPr="00320F79" w:rsidRDefault="004E53A3" w:rsidP="000E6B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4E53A3" w:rsidRPr="00320F79" w:rsidRDefault="004E53A3" w:rsidP="000E6B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4E53A3" w:rsidRPr="00320F79" w:rsidTr="000E6B5F">
        <w:trPr>
          <w:trHeight w:val="284"/>
          <w:jc w:val="center"/>
        </w:trPr>
        <w:tc>
          <w:tcPr>
            <w:tcW w:w="1701" w:type="dxa"/>
            <w:tcBorders>
              <w:top w:val="single" w:sz="12" w:space="0" w:color="FFFFFF"/>
              <w:left w:val="nil"/>
              <w:bottom w:val="single" w:sz="12" w:space="0" w:color="FFFFFF"/>
            </w:tcBorders>
            <w:shd w:val="clear" w:color="auto" w:fill="F0EBE1"/>
            <w:vAlign w:val="center"/>
          </w:tcPr>
          <w:p w:rsidR="004E53A3" w:rsidRPr="00320F79" w:rsidRDefault="004E53A3" w:rsidP="000E6B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4E53A3" w:rsidRPr="00320F79" w:rsidRDefault="004E53A3" w:rsidP="000E6B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w:t>
            </w:r>
            <w:r w:rsidRPr="00320F79">
              <w:rPr>
                <w:rFonts w:ascii="Arial" w:hAnsi="Arial" w:cs="Arial"/>
                <w:b/>
                <w:color w:val="6C6361"/>
                <w:sz w:val="20"/>
                <w:szCs w:val="20"/>
              </w:rPr>
              <w:t>:30 - 1</w:t>
            </w:r>
            <w:r>
              <w:rPr>
                <w:rFonts w:ascii="Arial" w:hAnsi="Arial" w:cs="Arial"/>
                <w:b/>
                <w:color w:val="6C6361"/>
                <w:sz w:val="20"/>
                <w:szCs w:val="20"/>
              </w:rPr>
              <w:t>7</w:t>
            </w:r>
            <w:r w:rsidRPr="00320F79">
              <w:rPr>
                <w:rFonts w:ascii="Arial" w:hAnsi="Arial" w:cs="Arial"/>
                <w:b/>
                <w:color w:val="6C6361"/>
                <w:sz w:val="20"/>
                <w:szCs w:val="20"/>
              </w:rPr>
              <w:t>:45</w:t>
            </w:r>
          </w:p>
          <w:p w:rsidR="004E53A3" w:rsidRPr="00320F79" w:rsidRDefault="004E53A3" w:rsidP="000E6B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14</w:t>
            </w:r>
            <w:r w:rsidRPr="00320F79">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rsidR="004E53A3" w:rsidRPr="00320F79" w:rsidRDefault="004E53A3" w:rsidP="000E6B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4E53A3" w:rsidRDefault="004E53A3" w:rsidP="000E6B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LSHK RME Elective Course</w:t>
            </w:r>
          </w:p>
          <w:p w:rsidR="004E53A3" w:rsidRDefault="004E53A3" w:rsidP="000E6B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320F79">
              <w:rPr>
                <w:rFonts w:ascii="Arial" w:hAnsi="Arial" w:cs="Arial"/>
                <w:b/>
                <w:color w:val="6C6361"/>
                <w:sz w:val="20"/>
                <w:szCs w:val="20"/>
              </w:rPr>
              <w:t xml:space="preserve">LSHK </w:t>
            </w:r>
            <w:r>
              <w:rPr>
                <w:rFonts w:ascii="Arial" w:hAnsi="Arial" w:cs="Arial"/>
                <w:b/>
                <w:color w:val="6C6361"/>
                <w:sz w:val="20"/>
                <w:szCs w:val="20"/>
              </w:rPr>
              <w:t>3.0 CPD Points</w:t>
            </w:r>
          </w:p>
          <w:p w:rsidR="004E53A3" w:rsidRPr="002C3217" w:rsidRDefault="004E53A3" w:rsidP="000E6B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color w:val="6C6361"/>
                <w:sz w:val="20"/>
                <w:szCs w:val="20"/>
              </w:rPr>
            </w:pPr>
            <w:r w:rsidRPr="002C3217">
              <w:rPr>
                <w:rFonts w:ascii="Arial" w:hAnsi="Arial" w:cs="Arial"/>
                <w:color w:val="6C6361"/>
                <w:sz w:val="20"/>
                <w:szCs w:val="20"/>
              </w:rPr>
              <w:t>(LSHK Allocated Number: 20171232)</w:t>
            </w:r>
          </w:p>
        </w:tc>
      </w:tr>
      <w:tr w:rsidR="004E53A3" w:rsidRPr="00320F79" w:rsidTr="000E6B5F">
        <w:trPr>
          <w:trHeight w:val="1247"/>
          <w:jc w:val="center"/>
        </w:trPr>
        <w:tc>
          <w:tcPr>
            <w:tcW w:w="1701" w:type="dxa"/>
            <w:tcBorders>
              <w:top w:val="single" w:sz="12" w:space="0" w:color="FFFFFF"/>
              <w:left w:val="nil"/>
              <w:bottom w:val="nil"/>
            </w:tcBorders>
            <w:shd w:val="clear" w:color="auto" w:fill="F0EBE1"/>
            <w:vAlign w:val="center"/>
          </w:tcPr>
          <w:p w:rsidR="004E53A3" w:rsidRPr="00320F79" w:rsidRDefault="004E53A3" w:rsidP="000E6B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4E53A3" w:rsidRPr="00320F79" w:rsidRDefault="004E53A3" w:rsidP="000E6B5F">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320F79">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320F79">
              <w:rPr>
                <w:rFonts w:ascii="Arial" w:hAnsi="Arial" w:cs="Arial"/>
                <w:b/>
                <w:color w:val="6C6361"/>
                <w:sz w:val="20"/>
                <w:szCs w:val="20"/>
              </w:rPr>
              <w:fldChar w:fldCharType="separate"/>
            </w:r>
            <w:proofErr w:type="spellStart"/>
            <w:r w:rsidRPr="00320F79">
              <w:rPr>
                <w:rStyle w:val="Hyperlink"/>
                <w:rFonts w:ascii="Arial" w:hAnsi="Arial" w:cs="Arial"/>
                <w:b/>
                <w:color w:val="6C6361"/>
                <w:sz w:val="20"/>
                <w:szCs w:val="20"/>
                <w:u w:val="none"/>
              </w:rPr>
              <w:t>Kornerstone</w:t>
            </w:r>
            <w:proofErr w:type="spellEnd"/>
            <w:r w:rsidRPr="00320F79">
              <w:rPr>
                <w:rStyle w:val="Hyperlink"/>
                <w:rFonts w:ascii="Arial" w:hAnsi="Arial" w:cs="Arial"/>
                <w:b/>
                <w:color w:val="6C6361"/>
                <w:sz w:val="20"/>
                <w:szCs w:val="20"/>
                <w:u w:val="none"/>
              </w:rPr>
              <w:t xml:space="preserve"> Institute</w:t>
            </w:r>
          </w:p>
          <w:p w:rsidR="004E53A3" w:rsidRPr="00320F79" w:rsidRDefault="004E53A3" w:rsidP="000E6B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 xml:space="preserve">15/F, Hip </w:t>
            </w:r>
            <w:proofErr w:type="spellStart"/>
            <w:r w:rsidRPr="00320F79">
              <w:rPr>
                <w:rStyle w:val="Hyperlink"/>
                <w:rFonts w:ascii="Arial" w:hAnsi="Arial" w:cs="Arial"/>
                <w:color w:val="6C6361"/>
                <w:sz w:val="20"/>
                <w:szCs w:val="20"/>
                <w:u w:val="none"/>
              </w:rPr>
              <w:t>Shing</w:t>
            </w:r>
            <w:proofErr w:type="spellEnd"/>
            <w:r w:rsidRPr="00320F79">
              <w:rPr>
                <w:rStyle w:val="Hyperlink"/>
                <w:rFonts w:ascii="Arial" w:hAnsi="Arial" w:cs="Arial"/>
                <w:color w:val="6C6361"/>
                <w:sz w:val="20"/>
                <w:szCs w:val="20"/>
                <w:u w:val="none"/>
              </w:rPr>
              <w:t xml:space="preserve"> Hong Centre</w:t>
            </w:r>
          </w:p>
          <w:p w:rsidR="004E53A3" w:rsidRPr="00320F79" w:rsidRDefault="004E53A3" w:rsidP="000E6B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 xml:space="preserve">55 Des </w:t>
            </w:r>
            <w:proofErr w:type="spellStart"/>
            <w:r w:rsidRPr="00320F79">
              <w:rPr>
                <w:rStyle w:val="Hyperlink"/>
                <w:rFonts w:ascii="Arial" w:hAnsi="Arial" w:cs="Arial"/>
                <w:color w:val="6C6361"/>
                <w:sz w:val="20"/>
                <w:szCs w:val="20"/>
                <w:u w:val="none"/>
              </w:rPr>
              <w:t>Voeux</w:t>
            </w:r>
            <w:proofErr w:type="spellEnd"/>
            <w:r w:rsidRPr="00320F79">
              <w:rPr>
                <w:rStyle w:val="Hyperlink"/>
                <w:rFonts w:ascii="Arial" w:hAnsi="Arial" w:cs="Arial"/>
                <w:color w:val="6C6361"/>
                <w:sz w:val="20"/>
                <w:szCs w:val="20"/>
                <w:u w:val="none"/>
              </w:rPr>
              <w:t xml:space="preserve"> Road Central</w:t>
            </w:r>
          </w:p>
          <w:p w:rsidR="004E53A3" w:rsidRPr="00320F79" w:rsidRDefault="004E53A3" w:rsidP="000E6B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320F79">
              <w:rPr>
                <w:rStyle w:val="Hyperlink"/>
                <w:rFonts w:ascii="Arial" w:hAnsi="Arial" w:cs="Arial"/>
                <w:color w:val="6C6361"/>
                <w:sz w:val="20"/>
                <w:szCs w:val="20"/>
                <w:u w:val="none"/>
              </w:rPr>
              <w:t>Central, Hong Kong</w:t>
            </w:r>
            <w:r w:rsidRPr="00320F79">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4E53A3" w:rsidRDefault="004E53A3" w:rsidP="000E6B5F">
            <w:pPr>
              <w:jc w:val="right"/>
              <w:rPr>
                <w:rFonts w:ascii="Arial" w:hAnsi="Arial" w:cs="Arial"/>
                <w:b/>
                <w:color w:val="6C6361"/>
                <w:sz w:val="20"/>
                <w:szCs w:val="20"/>
              </w:rPr>
            </w:pPr>
          </w:p>
          <w:p w:rsidR="004E53A3" w:rsidRDefault="004E53A3" w:rsidP="000E6B5F">
            <w:pPr>
              <w:jc w:val="right"/>
              <w:rPr>
                <w:rFonts w:ascii="Arial" w:hAnsi="Arial" w:cs="Arial"/>
                <w:b/>
                <w:color w:val="6C6361"/>
                <w:sz w:val="20"/>
                <w:szCs w:val="20"/>
              </w:rPr>
            </w:pPr>
          </w:p>
          <w:p w:rsidR="004E53A3" w:rsidRPr="00320F79" w:rsidRDefault="004E53A3" w:rsidP="000E6B5F">
            <w:pPr>
              <w:jc w:val="right"/>
              <w:rPr>
                <w:rFonts w:ascii="Arial" w:hAnsi="Arial" w:cs="Arial"/>
                <w:b/>
                <w:color w:val="6C6361"/>
                <w:sz w:val="20"/>
                <w:szCs w:val="20"/>
              </w:rPr>
            </w:pPr>
            <w:r w:rsidRPr="00320F79">
              <w:rPr>
                <w:rFonts w:ascii="Arial" w:hAnsi="Arial" w:cs="Arial"/>
                <w:b/>
                <w:noProof/>
                <w:color w:val="6C6361"/>
                <w:sz w:val="20"/>
                <w:szCs w:val="20"/>
              </w:rPr>
              <w:drawing>
                <wp:inline distT="0" distB="0" distL="0" distR="0" wp14:anchorId="25B54AEE" wp14:editId="37086301">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4E53A3" w:rsidRPr="00E2201B" w:rsidRDefault="004E53A3" w:rsidP="000E6B5F">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rsidR="004E53A3" w:rsidRPr="003A2A41" w:rsidRDefault="004E53A3" w:rsidP="000E6B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4E53A3" w:rsidRPr="003A2A41" w:rsidRDefault="004E53A3" w:rsidP="000E6B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75" w:type="dxa"/>
            <w:tcBorders>
              <w:top w:val="single" w:sz="12" w:space="0" w:color="F0EBE1"/>
              <w:bottom w:val="nil"/>
              <w:right w:val="nil"/>
            </w:tcBorders>
            <w:shd w:val="clear" w:color="auto" w:fill="FFFFFF"/>
            <w:vAlign w:val="center"/>
          </w:tcPr>
          <w:p w:rsidR="004E53A3" w:rsidRPr="003A2A41" w:rsidRDefault="004E53A3" w:rsidP="000E6B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4E53A3" w:rsidRPr="003A2A41" w:rsidRDefault="004E53A3" w:rsidP="000E6B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10" w:type="dxa"/>
            <w:tcBorders>
              <w:top w:val="single" w:sz="12" w:space="0" w:color="F0EBE1"/>
              <w:left w:val="nil"/>
              <w:bottom w:val="nil"/>
              <w:right w:val="nil"/>
            </w:tcBorders>
            <w:shd w:val="clear" w:color="auto" w:fill="FFFFFF"/>
            <w:vAlign w:val="center"/>
          </w:tcPr>
          <w:p w:rsidR="004E53A3" w:rsidRPr="00156567" w:rsidRDefault="004E53A3" w:rsidP="000E6B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57CAEF55" wp14:editId="1F4C8525">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4E53A3" w:rsidRDefault="00214BC6" w:rsidP="004E53A3">
      <w:pPr>
        <w:rPr>
          <w:sz w:val="2"/>
          <w:szCs w:val="2"/>
        </w:rPr>
      </w:pPr>
    </w:p>
    <w:sectPr w:rsidR="00214BC6" w:rsidRPr="004E53A3"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30FE" w:rsidRDefault="000630FE" w:rsidP="00546556">
      <w:r>
        <w:separator/>
      </w:r>
    </w:p>
  </w:endnote>
  <w:endnote w:type="continuationSeparator" w:id="0">
    <w:p w:rsidR="000630FE" w:rsidRDefault="000630FE"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30FE" w:rsidRDefault="000630FE" w:rsidP="00546556">
      <w:r>
        <w:separator/>
      </w:r>
    </w:p>
  </w:footnote>
  <w:footnote w:type="continuationSeparator" w:id="0">
    <w:p w:rsidR="000630FE" w:rsidRDefault="000630FE"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i11oAL094b+HwB1PlVLAHuNRGBfEyhztkm6HWcvWlYTddA1IdbDqojhwQNQdn0CNDFJ/4EKNCoJv5JN1uzYm9g==" w:salt="T5WWU0wbdnrNylkVFcuHoQ=="/>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3933"/>
    <w:rsid w:val="00054C0E"/>
    <w:rsid w:val="00055708"/>
    <w:rsid w:val="0005657B"/>
    <w:rsid w:val="000568E8"/>
    <w:rsid w:val="00056B7C"/>
    <w:rsid w:val="00061765"/>
    <w:rsid w:val="00062429"/>
    <w:rsid w:val="00062643"/>
    <w:rsid w:val="000630FE"/>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2E25"/>
    <w:rsid w:val="00153BCF"/>
    <w:rsid w:val="001543E8"/>
    <w:rsid w:val="001559FE"/>
    <w:rsid w:val="0015630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BE9"/>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3936"/>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62AB"/>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E75"/>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53A3"/>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373"/>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2B"/>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2B"/>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489A"/>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3216"/>
    <w:rsid w:val="00994BF0"/>
    <w:rsid w:val="00994CDD"/>
    <w:rsid w:val="009956FF"/>
    <w:rsid w:val="00996B08"/>
    <w:rsid w:val="009A00B8"/>
    <w:rsid w:val="009A0118"/>
    <w:rsid w:val="009A03AC"/>
    <w:rsid w:val="009A3216"/>
    <w:rsid w:val="009A423D"/>
    <w:rsid w:val="009A5018"/>
    <w:rsid w:val="009A573B"/>
    <w:rsid w:val="009A590F"/>
    <w:rsid w:val="009A5955"/>
    <w:rsid w:val="009A5EEA"/>
    <w:rsid w:val="009B04F4"/>
    <w:rsid w:val="009B1BA2"/>
    <w:rsid w:val="009B5D85"/>
    <w:rsid w:val="009B7803"/>
    <w:rsid w:val="009C0972"/>
    <w:rsid w:val="009C09F9"/>
    <w:rsid w:val="009C3621"/>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3F4D"/>
    <w:rsid w:val="00A74AD3"/>
    <w:rsid w:val="00A74E7F"/>
    <w:rsid w:val="00A74EEE"/>
    <w:rsid w:val="00A7504D"/>
    <w:rsid w:val="00A75D00"/>
    <w:rsid w:val="00A75FE7"/>
    <w:rsid w:val="00A771AB"/>
    <w:rsid w:val="00A80AA6"/>
    <w:rsid w:val="00A82265"/>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41B"/>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5DEA"/>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66BB9"/>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4D0"/>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5424"/>
    <w:rsid w:val="00DB0C1E"/>
    <w:rsid w:val="00DB23E0"/>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5900"/>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031"/>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512/" TargetMode="External"/><Relationship Id="rId13" Type="http://schemas.openxmlformats.org/officeDocument/2006/relationships/image" Target="media/image3.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profectional.com/presenters/idl000011512/" TargetMode="Externa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181/"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7.emf"/><Relationship Id="rId1" Type="http://schemas.openxmlformats.org/officeDocument/2006/relationships/hyperlink" Target="http://www.profectional.com/" TargetMode="External"/><Relationship Id="rId6" Type="http://schemas.openxmlformats.org/officeDocument/2006/relationships/image" Target="media/image8.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7F43BB-EE43-4815-B3AB-E4800F58F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466</Words>
  <Characters>2657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CPD Course: Mutual Wills and Secret Trusts in Practice and Theory</vt:lpstr>
    </vt:vector>
  </TitlesOfParts>
  <Manager>Tyrone Tsang</Manager>
  <Company>The Profectional Company Limited</Company>
  <LinksUpToDate>false</LinksUpToDate>
  <CharactersWithSpaces>3117</CharactersWithSpaces>
  <SharedDoc>false</SharedDoc>
  <HyperlinkBase>http://download.profectional.com/events/EVT000000181.docx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RME Elective Course: Money Laundering for Beginners: An Introduction to Anti-Money Laundering</dc:title>
  <dc:subject>CPD Course, RME Elective Course: Money Laundering for Beginners: An Introduction to Anti-Money Laundering</dc:subject>
  <dc:creator>The Profectional Company Limited</dc:creator>
  <cp:keywords>Profectional; Kornerstone; CPD; CPT; CLE; CE; RME; Steven Gallagher; Associate Professor of Practice in Law; Associate Dean (Teaching &amp; Learning);The Faculty of Law; The Chinese University of Hong Kong</cp:keywords>
  <cp:lastModifiedBy>Tyrone Tsang</cp:lastModifiedBy>
  <cp:revision>19</cp:revision>
  <cp:lastPrinted>2017-05-29T02:52:00Z</cp:lastPrinted>
  <dcterms:created xsi:type="dcterms:W3CDTF">2017-01-12T02:41:00Z</dcterms:created>
  <dcterms:modified xsi:type="dcterms:W3CDTF">2017-05-29T02:52:00Z</dcterms:modified>
</cp:coreProperties>
</file>