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35D" w:rsidRPr="00C4335D" w:rsidRDefault="00C4335D" w:rsidP="00C4335D">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C4335D" w:rsidRPr="00523A64" w:rsidTr="00A05DED">
        <w:trPr>
          <w:trHeight w:val="3119"/>
          <w:jc w:val="center"/>
        </w:trPr>
        <w:tc>
          <w:tcPr>
            <w:tcW w:w="4797" w:type="dxa"/>
            <w:shd w:val="clear" w:color="auto" w:fill="FFFFFF"/>
            <w:vAlign w:val="center"/>
          </w:tcPr>
          <w:p w:rsidR="00C4335D" w:rsidRPr="001A3018" w:rsidRDefault="00C4335D" w:rsidP="00A05DED">
            <w:pPr>
              <w:jc w:val="center"/>
              <w:rPr>
                <w:rFonts w:ascii="Arial" w:hAnsi="Arial" w:cs="Arial"/>
                <w:b/>
                <w:bCs/>
                <w:color w:val="524B48"/>
                <w:sz w:val="4"/>
                <w:szCs w:val="4"/>
              </w:rPr>
            </w:pPr>
          </w:p>
          <w:p w:rsidR="00C4335D" w:rsidRDefault="00C4335D" w:rsidP="00A05DED">
            <w:pPr>
              <w:jc w:val="center"/>
              <w:rPr>
                <w:rStyle w:val="Hyperlink"/>
                <w:rFonts w:ascii="Arial" w:hAnsi="Arial" w:cs="Arial"/>
                <w:b/>
                <w:bCs/>
                <w:color w:val="524B48"/>
                <w:sz w:val="32"/>
                <w:szCs w:val="32"/>
                <w:u w:val="none"/>
              </w:rPr>
            </w:pPr>
            <w:r w:rsidRPr="00CF685C">
              <w:fldChar w:fldCharType="begin"/>
            </w:r>
            <w:r>
              <w:instrText>HYPERLINK "http://cpd.hk/evt000000190/"</w:instrText>
            </w:r>
            <w:r w:rsidRPr="00CF685C">
              <w:fldChar w:fldCharType="separate"/>
            </w:r>
            <w:r>
              <w:rPr>
                <w:rStyle w:val="Hyperlink"/>
                <w:rFonts w:ascii="Arial" w:hAnsi="Arial" w:cs="Arial"/>
                <w:b/>
                <w:bCs/>
                <w:color w:val="524B48"/>
                <w:sz w:val="32"/>
                <w:szCs w:val="32"/>
                <w:u w:val="none"/>
              </w:rPr>
              <w:t>An Introduction to</w:t>
            </w:r>
          </w:p>
          <w:p w:rsidR="00C4335D" w:rsidRDefault="00C4335D" w:rsidP="00A05DE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Cultural Heritage</w:t>
            </w:r>
          </w:p>
          <w:p w:rsidR="00C4335D" w:rsidRPr="00796B17" w:rsidRDefault="00C4335D" w:rsidP="00A05DED">
            <w:pPr>
              <w:jc w:val="center"/>
              <w:rPr>
                <w:rStyle w:val="Hyperlink"/>
                <w:rFonts w:ascii="Arial" w:hAnsi="Arial" w:cs="Arial"/>
                <w:b/>
                <w:bCs/>
                <w:i/>
                <w:color w:val="524B48"/>
                <w:sz w:val="32"/>
                <w:szCs w:val="32"/>
                <w:u w:val="none"/>
              </w:rPr>
            </w:pPr>
            <w:r w:rsidRPr="00796B17">
              <w:rPr>
                <w:rStyle w:val="Hyperlink"/>
                <w:rFonts w:ascii="Arial" w:hAnsi="Arial" w:cs="Arial"/>
                <w:b/>
                <w:bCs/>
                <w:color w:val="524B48"/>
                <w:sz w:val="32"/>
                <w:szCs w:val="32"/>
                <w:u w:val="none"/>
              </w:rPr>
              <w:t>and the Law:</w:t>
            </w:r>
          </w:p>
          <w:p w:rsidR="00C4335D" w:rsidRDefault="00C4335D" w:rsidP="00A05DE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Looting Tombs,</w:t>
            </w:r>
          </w:p>
          <w:p w:rsidR="00C4335D" w:rsidRDefault="00C4335D" w:rsidP="00A05DE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Wrecks and Museums,</w:t>
            </w:r>
          </w:p>
          <w:p w:rsidR="00C4335D" w:rsidRDefault="00C4335D" w:rsidP="00A05DE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Trafficking Gold,</w:t>
            </w:r>
          </w:p>
          <w:p w:rsidR="00C4335D" w:rsidRDefault="00C4335D" w:rsidP="00A05DE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Silver, Porcelain and</w:t>
            </w:r>
          </w:p>
          <w:p w:rsidR="00C4335D" w:rsidRDefault="00C4335D" w:rsidP="00A05DE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Other Treasure in Peace,</w:t>
            </w:r>
          </w:p>
          <w:p w:rsidR="00C4335D" w:rsidRDefault="00C4335D" w:rsidP="00A05DED">
            <w:pPr>
              <w:jc w:val="center"/>
              <w:rPr>
                <w:rStyle w:val="Hyperlink"/>
                <w:rFonts w:ascii="Arial" w:hAnsi="Arial" w:cs="Arial"/>
                <w:b/>
                <w:bCs/>
                <w:color w:val="524B48"/>
                <w:sz w:val="32"/>
                <w:szCs w:val="32"/>
                <w:u w:val="none"/>
              </w:rPr>
            </w:pPr>
            <w:r w:rsidRPr="00796B17">
              <w:rPr>
                <w:rStyle w:val="Hyperlink"/>
                <w:rFonts w:ascii="Arial" w:hAnsi="Arial" w:cs="Arial"/>
                <w:b/>
                <w:bCs/>
                <w:color w:val="524B48"/>
                <w:sz w:val="32"/>
                <w:szCs w:val="32"/>
                <w:u w:val="none"/>
              </w:rPr>
              <w:t>Conflict and Terror</w:t>
            </w:r>
          </w:p>
          <w:p w:rsidR="00C4335D" w:rsidRPr="00C65AFD" w:rsidRDefault="00C4335D" w:rsidP="00A05DED">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C4335D" w:rsidRPr="00C65AFD" w:rsidRDefault="00C4335D" w:rsidP="00A05DED">
            <w:pPr>
              <w:jc w:val="center"/>
              <w:rPr>
                <w:rFonts w:ascii="Arial" w:hAnsi="Arial" w:cs="Arial"/>
                <w:i/>
                <w:color w:val="6C6361"/>
                <w:sz w:val="24"/>
                <w:szCs w:val="24"/>
              </w:rPr>
            </w:pPr>
            <w:r w:rsidRPr="00C65AFD">
              <w:rPr>
                <w:rFonts w:ascii="Arial" w:hAnsi="Arial" w:cs="Arial"/>
                <w:i/>
                <w:color w:val="6C6361"/>
                <w:sz w:val="24"/>
                <w:szCs w:val="24"/>
              </w:rPr>
              <w:t>by</w:t>
            </w:r>
          </w:p>
          <w:p w:rsidR="00C4335D" w:rsidRDefault="00C4335D" w:rsidP="00A05DED">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rsidR="00C4335D" w:rsidRDefault="00C4335D" w:rsidP="00A05DED">
            <w:pPr>
              <w:jc w:val="center"/>
              <w:rPr>
                <w:rFonts w:ascii="Arial" w:hAnsi="Arial" w:cs="Arial"/>
                <w:color w:val="6C6361"/>
                <w:sz w:val="24"/>
                <w:szCs w:val="24"/>
              </w:rPr>
            </w:pPr>
            <w:r w:rsidRPr="00BB7007">
              <w:rPr>
                <w:rFonts w:ascii="Arial" w:hAnsi="Arial" w:cs="Arial"/>
                <w:color w:val="6C6361"/>
                <w:sz w:val="24"/>
                <w:szCs w:val="24"/>
              </w:rPr>
              <w:t>Associat</w:t>
            </w:r>
            <w:r>
              <w:rPr>
                <w:rFonts w:ascii="Arial" w:hAnsi="Arial" w:cs="Arial"/>
                <w:color w:val="6C6361"/>
                <w:sz w:val="24"/>
                <w:szCs w:val="24"/>
              </w:rPr>
              <w:t>e Professor of Practice in Law,</w:t>
            </w:r>
          </w:p>
          <w:p w:rsidR="00C4335D" w:rsidRDefault="00C4335D" w:rsidP="00A05DED">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rsidR="00C4335D" w:rsidRDefault="00C4335D" w:rsidP="00A05DED">
            <w:pPr>
              <w:jc w:val="center"/>
              <w:rPr>
                <w:rFonts w:ascii="Arial" w:hAnsi="Arial" w:cs="Arial"/>
                <w:color w:val="6C6361"/>
                <w:sz w:val="24"/>
                <w:szCs w:val="24"/>
              </w:rPr>
            </w:pPr>
            <w:r>
              <w:rPr>
                <w:rFonts w:ascii="Arial" w:hAnsi="Arial" w:cs="Arial"/>
                <w:color w:val="6C6361"/>
                <w:sz w:val="24"/>
                <w:szCs w:val="24"/>
              </w:rPr>
              <w:t>The Faculty of Law,</w:t>
            </w:r>
          </w:p>
          <w:p w:rsidR="00C4335D" w:rsidRPr="007E02E6" w:rsidRDefault="00C4335D" w:rsidP="00A05DED">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rsidR="00C4335D" w:rsidRPr="00D87ECF" w:rsidRDefault="00C4335D" w:rsidP="00A05DED">
            <w:pPr>
              <w:jc w:val="center"/>
              <w:rPr>
                <w:rFonts w:ascii="Arial" w:hAnsi="Arial" w:cs="Arial"/>
                <w:color w:val="6C6361"/>
                <w:sz w:val="8"/>
                <w:szCs w:val="8"/>
              </w:rPr>
            </w:pPr>
          </w:p>
        </w:tc>
        <w:tc>
          <w:tcPr>
            <w:tcW w:w="5976" w:type="dxa"/>
            <w:shd w:val="clear" w:color="auto" w:fill="FFFFFF"/>
            <w:vAlign w:val="center"/>
          </w:tcPr>
          <w:p w:rsidR="00C4335D" w:rsidRPr="00D50772" w:rsidRDefault="00C4335D" w:rsidP="00A05DED">
            <w:pPr>
              <w:spacing w:line="276" w:lineRule="auto"/>
              <w:rPr>
                <w:rFonts w:ascii="Arial" w:eastAsia="Times New Roman" w:hAnsi="Arial" w:cs="Arial"/>
                <w:noProof/>
                <w:sz w:val="20"/>
                <w:szCs w:val="20"/>
              </w:rPr>
            </w:pPr>
            <w:r w:rsidRPr="003E33AE">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4202EE01" wp14:editId="05716F8A">
                  <wp:simplePos x="0" y="0"/>
                  <wp:positionH relativeFrom="column">
                    <wp:posOffset>3171190</wp:posOffset>
                  </wp:positionH>
                  <wp:positionV relativeFrom="paragraph">
                    <wp:posOffset>-769620</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6BD0A612" wp14:editId="3E7FEF6F">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C4335D" w:rsidRPr="00796B17" w:rsidRDefault="00C4335D" w:rsidP="00C4335D">
      <w:pPr>
        <w:spacing w:line="276" w:lineRule="auto"/>
        <w:jc w:val="left"/>
        <w:rPr>
          <w:rFonts w:ascii="Arial" w:hAnsi="Arial" w:cs="Arial"/>
          <w:sz w:val="20"/>
          <w:szCs w:val="20"/>
        </w:rPr>
      </w:pPr>
    </w:p>
    <w:tbl>
      <w:tblPr>
        <w:tblW w:w="10773"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0773"/>
      </w:tblGrid>
      <w:tr w:rsidR="00C4335D" w:rsidRPr="00796B17" w:rsidTr="00A05DED">
        <w:trPr>
          <w:trHeight w:val="3567"/>
          <w:jc w:val="center"/>
        </w:trPr>
        <w:tc>
          <w:tcPr>
            <w:tcW w:w="10773" w:type="dxa"/>
            <w:tcBorders>
              <w:top w:val="nil"/>
              <w:left w:val="nil"/>
              <w:bottom w:val="nil"/>
              <w:right w:val="nil"/>
            </w:tcBorders>
            <w:shd w:val="clear" w:color="auto" w:fill="FFFFFF"/>
            <w:vAlign w:val="center"/>
          </w:tcPr>
          <w:p w:rsidR="00C4335D" w:rsidRPr="00796B17" w:rsidRDefault="00C4335D" w:rsidP="00A05DED">
            <w:pPr>
              <w:spacing w:line="276" w:lineRule="auto"/>
              <w:rPr>
                <w:rFonts w:ascii="Arial" w:hAnsi="Arial" w:cs="Arial"/>
                <w:i/>
                <w:color w:val="6C6361"/>
              </w:rPr>
            </w:pPr>
            <w:hyperlink r:id="rId12" w:history="1">
              <w:r w:rsidRPr="00796B17">
                <w:rPr>
                  <w:rStyle w:val="Hyperlink"/>
                  <w:rFonts w:ascii="Arial" w:hAnsi="Arial" w:cs="Arial"/>
                  <w:b/>
                  <w:color w:val="6C6361"/>
                  <w:u w:val="none"/>
                </w:rPr>
                <w:t>Prof. Steven Gallagher</w:t>
              </w:r>
            </w:hyperlink>
          </w:p>
          <w:p w:rsidR="00C4335D" w:rsidRPr="00796B17" w:rsidRDefault="00C4335D" w:rsidP="00A05DED">
            <w:pPr>
              <w:spacing w:line="276" w:lineRule="auto"/>
              <w:rPr>
                <w:rFonts w:ascii="Arial" w:hAnsi="Arial" w:cs="Arial"/>
                <w:i/>
                <w:color w:val="6C6361"/>
              </w:rPr>
            </w:pPr>
            <w:r w:rsidRPr="00796B17">
              <w:rPr>
                <w:rFonts w:ascii="Arial" w:hAnsi="Arial" w:cs="Arial"/>
                <w:i/>
                <w:color w:val="6C6361"/>
              </w:rPr>
              <w:t>Associate Professor of Practice in Law, Associate Dean (Teaching &amp; Learning),</w:t>
            </w:r>
          </w:p>
          <w:p w:rsidR="00C4335D" w:rsidRPr="00796B17" w:rsidRDefault="00C4335D" w:rsidP="00A05DED">
            <w:pPr>
              <w:spacing w:line="276" w:lineRule="auto"/>
              <w:rPr>
                <w:rFonts w:ascii="Arial" w:hAnsi="Arial" w:cs="Arial"/>
                <w:i/>
                <w:color w:val="6C6361"/>
              </w:rPr>
            </w:pPr>
            <w:r w:rsidRPr="00796B17">
              <w:rPr>
                <w:rFonts w:ascii="Arial" w:hAnsi="Arial" w:cs="Arial"/>
                <w:i/>
                <w:color w:val="6C6361"/>
              </w:rPr>
              <w:t>The Faculty of Law, The Chinese University of Hong Kong</w:t>
            </w:r>
          </w:p>
          <w:p w:rsidR="00C4335D" w:rsidRPr="00796B17" w:rsidRDefault="00C4335D" w:rsidP="00A05DED">
            <w:pPr>
              <w:spacing w:line="276" w:lineRule="auto"/>
              <w:rPr>
                <w:rFonts w:ascii="Arial" w:hAnsi="Arial" w:cs="Arial"/>
                <w:color w:val="6C6361"/>
                <w:sz w:val="10"/>
                <w:szCs w:val="10"/>
              </w:rPr>
            </w:pPr>
          </w:p>
          <w:p w:rsidR="00C4335D" w:rsidRPr="00796B17" w:rsidRDefault="00C4335D" w:rsidP="00A05DED">
            <w:pPr>
              <w:spacing w:line="276" w:lineRule="auto"/>
              <w:rPr>
                <w:rFonts w:ascii="Arial" w:hAnsi="Arial" w:cs="Arial"/>
                <w:color w:val="6C6361"/>
              </w:rPr>
            </w:pPr>
            <w:r w:rsidRPr="00796B17">
              <w:rPr>
                <w:rFonts w:ascii="Arial" w:hAnsi="Arial" w:cs="Arial"/>
                <w:color w:val="6C6361"/>
              </w:rPr>
              <w:t xml:space="preserve">Steven Gallagher was awarded a first class LL.B. He was called to the Bar of England and Wales in 2006. Steven has taught Equity and Trusts, Land Law and Company Law to undergraduates and International Corporate Liquidation and International Corporate Governance to postgraduates in England and Hong Kong. Steven teaches the Equity and Trusts courses for undergraduate students, the Principles of Equity and Trusts course on the Juris Doctor course and, in 2013, introduced the Principles of Cultural Heritage Law course to the LLM </w:t>
            </w:r>
            <w:proofErr w:type="spellStart"/>
            <w:r w:rsidRPr="00796B17">
              <w:rPr>
                <w:rFonts w:ascii="Arial" w:hAnsi="Arial" w:cs="Arial"/>
                <w:color w:val="6C6361"/>
              </w:rPr>
              <w:t>programme</w:t>
            </w:r>
            <w:proofErr w:type="spellEnd"/>
            <w:r w:rsidRPr="00796B17">
              <w:rPr>
                <w:rFonts w:ascii="Arial" w:hAnsi="Arial" w:cs="Arial"/>
                <w:color w:val="6C6361"/>
              </w:rPr>
              <w:t xml:space="preserve"> at the Chinese University of Hong Kong. Steven has presented continuing professional development courses for solicitors in Hong Kong on many topics associated with equity. Steven’s research interests include equity and the law of trusts, cultural heritage law and legal history.</w:t>
            </w:r>
          </w:p>
        </w:tc>
      </w:tr>
    </w:tbl>
    <w:p w:rsidR="00C4335D" w:rsidRPr="00796B17" w:rsidRDefault="00C4335D" w:rsidP="00C4335D">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C4335D" w:rsidRPr="00796B17" w:rsidTr="00A05DED">
        <w:trPr>
          <w:trHeight w:val="4415"/>
          <w:jc w:val="center"/>
        </w:trPr>
        <w:tc>
          <w:tcPr>
            <w:tcW w:w="10773" w:type="dxa"/>
            <w:tcBorders>
              <w:top w:val="nil"/>
              <w:bottom w:val="nil"/>
            </w:tcBorders>
            <w:shd w:val="clear" w:color="auto" w:fill="FFFFFF" w:themeFill="background1"/>
            <w:vAlign w:val="center"/>
          </w:tcPr>
          <w:p w:rsidR="00C4335D" w:rsidRPr="00796B17" w:rsidRDefault="00C4335D" w:rsidP="00A05DED">
            <w:pPr>
              <w:spacing w:line="276" w:lineRule="auto"/>
              <w:rPr>
                <w:rFonts w:ascii="Arial" w:hAnsi="Arial" w:cs="Arial"/>
                <w:color w:val="6C6361"/>
              </w:rPr>
            </w:pPr>
            <w:r w:rsidRPr="00796B17">
              <w:rPr>
                <w:rFonts w:ascii="Arial" w:hAnsi="Arial" w:cs="Arial"/>
                <w:color w:val="6C6361"/>
              </w:rPr>
              <w:t xml:space="preserve">This 3-hour seminar will provide an introduction to the international regime intended to protect cultural heritage.  Whether it was the attempted sale of bronze fountain heads looted from the Old Summer Palace in Beijing in the nineteenth century, allegations that terrorist organizations like </w:t>
            </w:r>
            <w:proofErr w:type="spellStart"/>
            <w:r w:rsidRPr="00796B17">
              <w:rPr>
                <w:rFonts w:ascii="Arial" w:hAnsi="Arial" w:cs="Arial"/>
                <w:color w:val="6C6361"/>
              </w:rPr>
              <w:t>Daesh</w:t>
            </w:r>
            <w:proofErr w:type="spellEnd"/>
            <w:r w:rsidRPr="00796B17">
              <w:rPr>
                <w:rFonts w:ascii="Arial" w:hAnsi="Arial" w:cs="Arial"/>
                <w:color w:val="6C6361"/>
              </w:rPr>
              <w:t xml:space="preserve"> are funding their operations by looting and trafficking archaeological treasures, or the videos of terrorist groups destroying museum collections or culturally significant sites, in recent years there have been many highly controversial issues involving cultural heritage around the world.</w:t>
            </w:r>
          </w:p>
          <w:p w:rsidR="00C4335D" w:rsidRPr="00796B17" w:rsidRDefault="00C4335D" w:rsidP="00A05DED">
            <w:pPr>
              <w:spacing w:line="276" w:lineRule="auto"/>
              <w:rPr>
                <w:rFonts w:ascii="Arial" w:hAnsi="Arial" w:cs="Arial"/>
                <w:color w:val="6C6361"/>
                <w:sz w:val="10"/>
                <w:szCs w:val="10"/>
              </w:rPr>
            </w:pPr>
          </w:p>
          <w:p w:rsidR="00C4335D" w:rsidRPr="00796B17" w:rsidRDefault="00C4335D" w:rsidP="00A05DED">
            <w:pPr>
              <w:spacing w:line="276" w:lineRule="auto"/>
              <w:rPr>
                <w:rFonts w:ascii="Arial" w:hAnsi="Arial" w:cs="Arial"/>
                <w:color w:val="6C6361"/>
              </w:rPr>
            </w:pPr>
            <w:r w:rsidRPr="00796B17">
              <w:rPr>
                <w:rFonts w:ascii="Arial" w:hAnsi="Arial" w:cs="Arial"/>
                <w:color w:val="6C6361"/>
              </w:rPr>
              <w:t>The seminar will begin with consideration of what is meant by the term "cultural heritage" and how international law has been developed to try and protect cultural heritage.  The seminar will consider the overlaps with art law and domestic laws intended to protect antiquities and relics but will focus on the six international conventions which are intended to protect what may now be termed cultural heritage.  Thus the seminar will consider topics such as the protection of cultural heritage in armed conflict, prohibiting and preventing trafficking of cultural heritage, the interaction between natural and cultural heritage, looted and stolen cultural heritage, protecting the underwater cultural heritage, and attempts to safeguard the intangible cultural heritage.</w:t>
            </w:r>
          </w:p>
        </w:tc>
      </w:tr>
    </w:tbl>
    <w:p w:rsidR="00C4335D" w:rsidRPr="00C4335D" w:rsidRDefault="00C4335D" w:rsidP="00C4335D">
      <w:pPr>
        <w:spacing w:line="276" w:lineRule="auto"/>
        <w:rPr>
          <w:rFonts w:ascii="Arial" w:hAnsi="Arial" w:cs="Arial"/>
          <w:sz w:val="2"/>
          <w:szCs w:val="2"/>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C4335D" w:rsidRPr="00796B17" w:rsidTr="00A05DED">
        <w:trPr>
          <w:trHeight w:val="397"/>
          <w:jc w:val="center"/>
        </w:trPr>
        <w:tc>
          <w:tcPr>
            <w:tcW w:w="10773" w:type="dxa"/>
            <w:gridSpan w:val="2"/>
            <w:tcBorders>
              <w:top w:val="nil"/>
              <w:bottom w:val="nil"/>
              <w:right w:val="nil"/>
            </w:tcBorders>
            <w:shd w:val="clear" w:color="auto" w:fill="F0EBE1"/>
            <w:vAlign w:val="center"/>
          </w:tcPr>
          <w:p w:rsidR="00C4335D" w:rsidRPr="00796B17" w:rsidRDefault="00C4335D" w:rsidP="00A05DED">
            <w:pPr>
              <w:spacing w:line="276" w:lineRule="auto"/>
              <w:rPr>
                <w:rFonts w:ascii="Arial" w:hAnsi="Arial" w:cs="Arial"/>
                <w:b/>
                <w:color w:val="524B48"/>
              </w:rPr>
            </w:pPr>
            <w:r w:rsidRPr="00796B17">
              <w:rPr>
                <w:rFonts w:ascii="Arial" w:hAnsi="Arial" w:cs="Arial"/>
                <w:b/>
                <w:color w:val="524B48"/>
              </w:rPr>
              <w:lastRenderedPageBreak/>
              <w:t>Some of the topics considered in this seminar will be:</w:t>
            </w:r>
          </w:p>
        </w:tc>
      </w:tr>
      <w:tr w:rsidR="00C4335D" w:rsidRPr="00796B17" w:rsidTr="00A05DED">
        <w:trPr>
          <w:trHeight w:val="4286"/>
          <w:jc w:val="center"/>
        </w:trPr>
        <w:tc>
          <w:tcPr>
            <w:tcW w:w="9072" w:type="dxa"/>
            <w:tcBorders>
              <w:top w:val="nil"/>
              <w:bottom w:val="nil"/>
              <w:right w:val="nil"/>
            </w:tcBorders>
            <w:shd w:val="clear" w:color="auto" w:fill="FFFFFF" w:themeFill="background1"/>
            <w:vAlign w:val="center"/>
          </w:tcPr>
          <w:p w:rsidR="00C4335D" w:rsidRPr="00796B17" w:rsidRDefault="00C4335D" w:rsidP="00A05DED">
            <w:pPr>
              <w:pStyle w:val="ListParagraph"/>
              <w:numPr>
                <w:ilvl w:val="0"/>
                <w:numId w:val="1"/>
              </w:numPr>
              <w:spacing w:line="276" w:lineRule="auto"/>
              <w:rPr>
                <w:rFonts w:ascii="Arial" w:hAnsi="Arial" w:cs="Arial"/>
                <w:color w:val="6C6361"/>
              </w:rPr>
            </w:pPr>
            <w:r w:rsidRPr="00796B17">
              <w:rPr>
                <w:rFonts w:ascii="Arial" w:hAnsi="Arial" w:cs="Arial"/>
                <w:color w:val="6C6361"/>
              </w:rPr>
              <w:t>Cultural heritage or cultural property?</w:t>
            </w:r>
          </w:p>
          <w:p w:rsidR="00C4335D" w:rsidRPr="00796B17" w:rsidRDefault="00C4335D" w:rsidP="00A05DED">
            <w:pPr>
              <w:pStyle w:val="ListParagraph"/>
              <w:numPr>
                <w:ilvl w:val="0"/>
                <w:numId w:val="1"/>
              </w:numPr>
              <w:spacing w:line="276" w:lineRule="auto"/>
              <w:rPr>
                <w:rFonts w:ascii="Arial" w:hAnsi="Arial" w:cs="Arial"/>
                <w:color w:val="6C6361"/>
              </w:rPr>
            </w:pPr>
            <w:r w:rsidRPr="00796B17">
              <w:rPr>
                <w:rFonts w:ascii="Arial" w:hAnsi="Arial" w:cs="Arial"/>
                <w:color w:val="6C6361"/>
              </w:rPr>
              <w:t>The beginnings of international protection of cultural heritage;</w:t>
            </w:r>
          </w:p>
          <w:p w:rsidR="00C4335D" w:rsidRPr="00796B17" w:rsidRDefault="00C4335D" w:rsidP="00A05DED">
            <w:pPr>
              <w:pStyle w:val="ListParagraph"/>
              <w:numPr>
                <w:ilvl w:val="0"/>
                <w:numId w:val="1"/>
              </w:numPr>
              <w:spacing w:line="276" w:lineRule="auto"/>
              <w:rPr>
                <w:rFonts w:ascii="Arial" w:hAnsi="Arial" w:cs="Arial"/>
                <w:color w:val="6C6361"/>
              </w:rPr>
            </w:pPr>
            <w:r w:rsidRPr="00796B17">
              <w:rPr>
                <w:rFonts w:ascii="Arial" w:hAnsi="Arial" w:cs="Arial"/>
                <w:color w:val="6C6361"/>
              </w:rPr>
              <w:t>Protecting cultural heritage in armed conflict;</w:t>
            </w:r>
          </w:p>
          <w:p w:rsidR="00C4335D" w:rsidRPr="00796B17" w:rsidRDefault="00C4335D" w:rsidP="00A05DED">
            <w:pPr>
              <w:pStyle w:val="ListParagraph"/>
              <w:numPr>
                <w:ilvl w:val="0"/>
                <w:numId w:val="1"/>
              </w:numPr>
              <w:spacing w:line="276" w:lineRule="auto"/>
              <w:rPr>
                <w:rFonts w:ascii="Arial" w:hAnsi="Arial" w:cs="Arial"/>
                <w:color w:val="6C6361"/>
              </w:rPr>
            </w:pPr>
            <w:r w:rsidRPr="00796B17">
              <w:rPr>
                <w:rFonts w:ascii="Arial" w:hAnsi="Arial" w:cs="Arial"/>
                <w:color w:val="6C6361"/>
              </w:rPr>
              <w:t>Prohibiting and preventing trafficking of cultural heritage;</w:t>
            </w:r>
          </w:p>
          <w:p w:rsidR="00C4335D" w:rsidRPr="00796B17" w:rsidRDefault="00C4335D" w:rsidP="00A05DED">
            <w:pPr>
              <w:pStyle w:val="ListParagraph"/>
              <w:numPr>
                <w:ilvl w:val="0"/>
                <w:numId w:val="1"/>
              </w:numPr>
              <w:spacing w:line="276" w:lineRule="auto"/>
              <w:rPr>
                <w:rFonts w:ascii="Arial" w:hAnsi="Arial" w:cs="Arial"/>
                <w:color w:val="6C6361"/>
              </w:rPr>
            </w:pPr>
            <w:r w:rsidRPr="00796B17">
              <w:rPr>
                <w:rFonts w:ascii="Arial" w:hAnsi="Arial" w:cs="Arial"/>
                <w:color w:val="6C6361"/>
              </w:rPr>
              <w:t>The interaction between natural and cultural heritage;</w:t>
            </w:r>
          </w:p>
          <w:p w:rsidR="00C4335D" w:rsidRPr="00796B17" w:rsidRDefault="00C4335D" w:rsidP="00A05DED">
            <w:pPr>
              <w:pStyle w:val="ListParagraph"/>
              <w:numPr>
                <w:ilvl w:val="0"/>
                <w:numId w:val="1"/>
              </w:numPr>
              <w:spacing w:line="276" w:lineRule="auto"/>
              <w:rPr>
                <w:rFonts w:ascii="Arial" w:hAnsi="Arial" w:cs="Arial"/>
                <w:color w:val="6C6361"/>
              </w:rPr>
            </w:pPr>
            <w:r w:rsidRPr="00796B17">
              <w:rPr>
                <w:rFonts w:ascii="Arial" w:hAnsi="Arial" w:cs="Arial"/>
                <w:color w:val="6C6361"/>
              </w:rPr>
              <w:t>Looted and stolen cultural heritage;</w:t>
            </w:r>
          </w:p>
          <w:p w:rsidR="00C4335D" w:rsidRPr="00796B17" w:rsidRDefault="00C4335D" w:rsidP="00A05DED">
            <w:pPr>
              <w:pStyle w:val="ListParagraph"/>
              <w:numPr>
                <w:ilvl w:val="0"/>
                <w:numId w:val="1"/>
              </w:numPr>
              <w:spacing w:line="276" w:lineRule="auto"/>
              <w:rPr>
                <w:rFonts w:ascii="Arial" w:hAnsi="Arial" w:cs="Arial"/>
                <w:color w:val="6C6361"/>
              </w:rPr>
            </w:pPr>
            <w:r w:rsidRPr="00796B17">
              <w:rPr>
                <w:rFonts w:ascii="Arial" w:hAnsi="Arial" w:cs="Arial"/>
                <w:color w:val="6C6361"/>
              </w:rPr>
              <w:t>Hong Kong’s role in the trafficking of heritage;</w:t>
            </w:r>
          </w:p>
          <w:p w:rsidR="00C4335D" w:rsidRPr="00796B17" w:rsidRDefault="00C4335D" w:rsidP="00A05DED">
            <w:pPr>
              <w:pStyle w:val="ListParagraph"/>
              <w:numPr>
                <w:ilvl w:val="0"/>
                <w:numId w:val="1"/>
              </w:numPr>
              <w:spacing w:line="276" w:lineRule="auto"/>
              <w:rPr>
                <w:rFonts w:ascii="Arial" w:hAnsi="Arial" w:cs="Arial"/>
                <w:color w:val="6C6361"/>
              </w:rPr>
            </w:pPr>
            <w:r w:rsidRPr="00796B17">
              <w:rPr>
                <w:rFonts w:ascii="Arial" w:hAnsi="Arial" w:cs="Arial"/>
                <w:color w:val="6C6361"/>
              </w:rPr>
              <w:t>Wrecks, gold, silver and porcelain;</w:t>
            </w:r>
          </w:p>
          <w:p w:rsidR="00C4335D" w:rsidRPr="00796B17" w:rsidRDefault="00C4335D" w:rsidP="00A05DED">
            <w:pPr>
              <w:pStyle w:val="ListParagraph"/>
              <w:numPr>
                <w:ilvl w:val="0"/>
                <w:numId w:val="1"/>
              </w:numPr>
              <w:spacing w:line="276" w:lineRule="auto"/>
              <w:rPr>
                <w:rFonts w:ascii="Arial" w:hAnsi="Arial" w:cs="Arial"/>
                <w:color w:val="6C6361"/>
              </w:rPr>
            </w:pPr>
            <w:r w:rsidRPr="00796B17">
              <w:rPr>
                <w:rFonts w:ascii="Arial" w:hAnsi="Arial" w:cs="Arial"/>
                <w:color w:val="6C6361"/>
              </w:rPr>
              <w:t>Protecting the underwater cultural heritage;</w:t>
            </w:r>
          </w:p>
          <w:p w:rsidR="00C4335D" w:rsidRPr="00796B17" w:rsidRDefault="00C4335D" w:rsidP="00A05DED">
            <w:pPr>
              <w:pStyle w:val="ListParagraph"/>
              <w:numPr>
                <w:ilvl w:val="0"/>
                <w:numId w:val="1"/>
              </w:numPr>
              <w:spacing w:line="276" w:lineRule="auto"/>
              <w:rPr>
                <w:rFonts w:ascii="Arial" w:hAnsi="Arial" w:cs="Arial"/>
                <w:color w:val="6C6361"/>
              </w:rPr>
            </w:pPr>
            <w:r w:rsidRPr="00796B17">
              <w:rPr>
                <w:rFonts w:ascii="Arial" w:hAnsi="Arial" w:cs="Arial"/>
                <w:color w:val="6C6361"/>
              </w:rPr>
              <w:t>What is intangible cultural heritage?</w:t>
            </w:r>
          </w:p>
          <w:p w:rsidR="00C4335D" w:rsidRPr="00796B17" w:rsidRDefault="00C4335D" w:rsidP="00A05DED">
            <w:pPr>
              <w:pStyle w:val="ListParagraph"/>
              <w:numPr>
                <w:ilvl w:val="0"/>
                <w:numId w:val="1"/>
              </w:numPr>
              <w:spacing w:line="276" w:lineRule="auto"/>
              <w:rPr>
                <w:rFonts w:ascii="Arial" w:hAnsi="Arial" w:cs="Arial"/>
                <w:color w:val="6C6361"/>
              </w:rPr>
            </w:pPr>
            <w:r w:rsidRPr="00796B17">
              <w:rPr>
                <w:rFonts w:ascii="Arial" w:hAnsi="Arial" w:cs="Arial"/>
                <w:color w:val="6C6361"/>
              </w:rPr>
              <w:t>Safeguarding the intangible cultural heritage;</w:t>
            </w:r>
          </w:p>
          <w:p w:rsidR="00C4335D" w:rsidRPr="00796B17" w:rsidRDefault="00C4335D" w:rsidP="00A05DED">
            <w:pPr>
              <w:pStyle w:val="ListParagraph"/>
              <w:numPr>
                <w:ilvl w:val="0"/>
                <w:numId w:val="1"/>
              </w:numPr>
              <w:spacing w:line="276" w:lineRule="auto"/>
              <w:rPr>
                <w:rFonts w:ascii="Arial" w:hAnsi="Arial" w:cs="Arial"/>
                <w:color w:val="6C6361"/>
              </w:rPr>
            </w:pPr>
            <w:r w:rsidRPr="00796B17">
              <w:rPr>
                <w:rFonts w:ascii="Arial" w:hAnsi="Arial" w:cs="Arial"/>
                <w:color w:val="6C6361"/>
              </w:rPr>
              <w:t>Cultural heritage laws in China and Hong Kong;</w:t>
            </w:r>
          </w:p>
          <w:p w:rsidR="00C4335D" w:rsidRPr="00796B17" w:rsidRDefault="00C4335D" w:rsidP="00A05DED">
            <w:pPr>
              <w:pStyle w:val="ListParagraph"/>
              <w:numPr>
                <w:ilvl w:val="0"/>
                <w:numId w:val="1"/>
              </w:numPr>
              <w:spacing w:line="276" w:lineRule="auto"/>
              <w:rPr>
                <w:rFonts w:ascii="Arial" w:hAnsi="Arial" w:cs="Arial"/>
                <w:color w:val="6C6361"/>
              </w:rPr>
            </w:pPr>
            <w:r w:rsidRPr="00796B17">
              <w:rPr>
                <w:rFonts w:ascii="Arial" w:hAnsi="Arial" w:cs="Arial"/>
                <w:color w:val="6C6361"/>
              </w:rPr>
              <w:t>The business of cultural heritage;</w:t>
            </w:r>
          </w:p>
          <w:p w:rsidR="00C4335D" w:rsidRPr="00796B17" w:rsidRDefault="00C4335D" w:rsidP="00A05DED">
            <w:pPr>
              <w:pStyle w:val="ListParagraph"/>
              <w:numPr>
                <w:ilvl w:val="0"/>
                <w:numId w:val="1"/>
              </w:numPr>
              <w:spacing w:line="276" w:lineRule="auto"/>
              <w:rPr>
                <w:rFonts w:ascii="Arial" w:hAnsi="Arial" w:cs="Arial"/>
                <w:color w:val="6C6361"/>
              </w:rPr>
            </w:pPr>
            <w:r w:rsidRPr="00796B17">
              <w:rPr>
                <w:rFonts w:ascii="Arial" w:hAnsi="Arial" w:cs="Arial"/>
                <w:color w:val="6C6361"/>
              </w:rPr>
              <w:t>The politics of cultural heritage laws.</w:t>
            </w:r>
          </w:p>
        </w:tc>
        <w:tc>
          <w:tcPr>
            <w:tcW w:w="1701" w:type="dxa"/>
            <w:tcBorders>
              <w:top w:val="nil"/>
              <w:left w:val="nil"/>
              <w:bottom w:val="nil"/>
            </w:tcBorders>
            <w:shd w:val="clear" w:color="auto" w:fill="FFFFFF" w:themeFill="background1"/>
            <w:vAlign w:val="bottom"/>
          </w:tcPr>
          <w:p w:rsidR="00C4335D" w:rsidRDefault="00C4335D" w:rsidP="00A05DED">
            <w:pPr>
              <w:spacing w:line="276" w:lineRule="auto"/>
              <w:jc w:val="center"/>
              <w:rPr>
                <w:rFonts w:ascii="Arial" w:hAnsi="Arial" w:cs="Arial"/>
                <w:color w:val="6C6361"/>
              </w:rPr>
            </w:pPr>
            <w:r w:rsidRPr="003E33AE">
              <w:rPr>
                <w:rFonts w:ascii="Arial" w:hAnsi="Arial" w:cs="Arial"/>
                <w:noProof/>
                <w:color w:val="6C6361"/>
              </w:rPr>
              <w:drawing>
                <wp:inline distT="0" distB="0" distL="0" distR="0" wp14:anchorId="4D114892" wp14:editId="2B19DB50">
                  <wp:extent cx="892800" cy="10188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p w:rsidR="00C4335D" w:rsidRPr="00796B17" w:rsidRDefault="00C4335D" w:rsidP="00A05DED">
            <w:pPr>
              <w:spacing w:line="276" w:lineRule="auto"/>
              <w:jc w:val="center"/>
              <w:rPr>
                <w:rFonts w:ascii="Arial" w:hAnsi="Arial" w:cs="Arial"/>
                <w:color w:val="6C6361"/>
                <w:sz w:val="10"/>
                <w:szCs w:val="10"/>
              </w:rPr>
            </w:pPr>
          </w:p>
        </w:tc>
      </w:tr>
    </w:tbl>
    <w:p w:rsidR="00C4335D" w:rsidRPr="00796B17" w:rsidRDefault="00C4335D" w:rsidP="00C4335D">
      <w:pPr>
        <w:spacing w:line="276" w:lineRule="auto"/>
        <w:rPr>
          <w:rFonts w:ascii="Arial" w:hAnsi="Arial" w:cs="Arial"/>
          <w:sz w:val="20"/>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5"/>
        <w:gridCol w:w="1270"/>
      </w:tblGrid>
      <w:tr w:rsidR="00C4335D" w:rsidRPr="00320F79" w:rsidTr="00A05DED">
        <w:trPr>
          <w:trHeight w:val="397"/>
          <w:jc w:val="center"/>
        </w:trPr>
        <w:tc>
          <w:tcPr>
            <w:tcW w:w="1701" w:type="dxa"/>
            <w:tcBorders>
              <w:top w:val="nil"/>
              <w:left w:val="nil"/>
              <w:bottom w:val="single" w:sz="12" w:space="0" w:color="FFFFFF"/>
            </w:tcBorders>
            <w:shd w:val="clear" w:color="auto" w:fill="F0EBE1"/>
            <w:vAlign w:val="center"/>
          </w:tcPr>
          <w:p w:rsidR="00C4335D" w:rsidRPr="00320F79" w:rsidRDefault="00C4335D" w:rsidP="00A05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C4335D" w:rsidRPr="00320F79" w:rsidRDefault="00C4335D" w:rsidP="00A05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EVT000000190</w:t>
            </w:r>
          </w:p>
        </w:tc>
        <w:tc>
          <w:tcPr>
            <w:tcW w:w="1701" w:type="dxa"/>
            <w:tcBorders>
              <w:top w:val="nil"/>
              <w:bottom w:val="single" w:sz="12" w:space="0" w:color="FFFFFF"/>
            </w:tcBorders>
            <w:shd w:val="clear" w:color="auto" w:fill="F0EBE1"/>
            <w:vAlign w:val="center"/>
          </w:tcPr>
          <w:p w:rsidR="00C4335D" w:rsidRPr="00320F79" w:rsidRDefault="00C4335D" w:rsidP="00A05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C4335D" w:rsidRPr="00320F79" w:rsidRDefault="00C4335D" w:rsidP="00A05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C4335D" w:rsidRPr="00320F79" w:rsidTr="00A05DED">
        <w:trPr>
          <w:trHeight w:val="397"/>
          <w:jc w:val="center"/>
        </w:trPr>
        <w:tc>
          <w:tcPr>
            <w:tcW w:w="1701" w:type="dxa"/>
            <w:tcBorders>
              <w:top w:val="single" w:sz="12" w:space="0" w:color="FFFFFF"/>
              <w:left w:val="nil"/>
              <w:bottom w:val="single" w:sz="12" w:space="0" w:color="FFFFFF"/>
            </w:tcBorders>
            <w:shd w:val="clear" w:color="auto" w:fill="F0EBE1"/>
            <w:vAlign w:val="center"/>
          </w:tcPr>
          <w:p w:rsidR="00C4335D" w:rsidRPr="00320F79" w:rsidRDefault="00C4335D" w:rsidP="00A05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C4335D" w:rsidRPr="00320F79" w:rsidRDefault="00C4335D" w:rsidP="00A05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796B17">
              <w:rPr>
                <w:rFonts w:ascii="Arial" w:hAnsi="Arial" w:cs="Arial"/>
                <w:b/>
                <w:color w:val="6C6361"/>
                <w:sz w:val="20"/>
                <w:szCs w:val="20"/>
              </w:rPr>
              <w:t>21 August 2017 (Monday)</w:t>
            </w:r>
          </w:p>
        </w:tc>
        <w:tc>
          <w:tcPr>
            <w:tcW w:w="1701" w:type="dxa"/>
            <w:tcBorders>
              <w:top w:val="single" w:sz="12" w:space="0" w:color="FFFFFF"/>
              <w:bottom w:val="single" w:sz="12" w:space="0" w:color="FFFFFF"/>
            </w:tcBorders>
            <w:shd w:val="clear" w:color="auto" w:fill="F0EBE1"/>
            <w:vAlign w:val="center"/>
          </w:tcPr>
          <w:p w:rsidR="00C4335D" w:rsidRPr="00320F79" w:rsidRDefault="00C4335D" w:rsidP="00A05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C4335D" w:rsidRPr="00320F79" w:rsidRDefault="00C4335D" w:rsidP="00A05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C4335D" w:rsidRPr="00320F79" w:rsidTr="00A05DED">
        <w:trPr>
          <w:trHeight w:val="397"/>
          <w:jc w:val="center"/>
        </w:trPr>
        <w:tc>
          <w:tcPr>
            <w:tcW w:w="1701" w:type="dxa"/>
            <w:tcBorders>
              <w:top w:val="single" w:sz="12" w:space="0" w:color="FFFFFF"/>
              <w:left w:val="nil"/>
              <w:bottom w:val="single" w:sz="12" w:space="0" w:color="FFFFFF"/>
            </w:tcBorders>
            <w:shd w:val="clear" w:color="auto" w:fill="F0EBE1"/>
            <w:vAlign w:val="center"/>
          </w:tcPr>
          <w:p w:rsidR="00C4335D" w:rsidRPr="00320F79" w:rsidRDefault="00C4335D" w:rsidP="00A05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C4335D" w:rsidRPr="00320F79" w:rsidRDefault="00C4335D" w:rsidP="00A05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p>
          <w:p w:rsidR="00C4335D" w:rsidRPr="00320F79" w:rsidRDefault="00C4335D" w:rsidP="00A05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C4335D" w:rsidRPr="00320F79" w:rsidRDefault="00C4335D" w:rsidP="00A05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C4335D" w:rsidRDefault="00C4335D" w:rsidP="00A05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LSHK 3.0 CPD Points</w:t>
            </w:r>
          </w:p>
          <w:p w:rsidR="00C4335D" w:rsidRPr="00EC6BD8" w:rsidRDefault="00C4335D" w:rsidP="00A05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EC6BD8">
              <w:rPr>
                <w:rFonts w:ascii="Arial" w:hAnsi="Arial" w:cs="Arial"/>
                <w:color w:val="6C6361"/>
                <w:sz w:val="20"/>
                <w:szCs w:val="20"/>
              </w:rPr>
              <w:t>(LSHK Allocated Number: 20172768)</w:t>
            </w:r>
          </w:p>
        </w:tc>
      </w:tr>
      <w:tr w:rsidR="00C4335D" w:rsidRPr="00320F79" w:rsidTr="00A05DED">
        <w:trPr>
          <w:trHeight w:val="1247"/>
          <w:jc w:val="center"/>
        </w:trPr>
        <w:tc>
          <w:tcPr>
            <w:tcW w:w="1701" w:type="dxa"/>
            <w:tcBorders>
              <w:top w:val="single" w:sz="12" w:space="0" w:color="FFFFFF"/>
              <w:left w:val="nil"/>
              <w:bottom w:val="nil"/>
            </w:tcBorders>
            <w:shd w:val="clear" w:color="auto" w:fill="F0EBE1"/>
            <w:vAlign w:val="center"/>
          </w:tcPr>
          <w:p w:rsidR="00C4335D" w:rsidRPr="00320F79" w:rsidRDefault="00C4335D" w:rsidP="00A05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C4335D" w:rsidRPr="00320F79" w:rsidRDefault="00C4335D" w:rsidP="00A05DED">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proofErr w:type="spellStart"/>
            <w:r w:rsidRPr="00320F79">
              <w:rPr>
                <w:rStyle w:val="Hyperlink"/>
                <w:rFonts w:ascii="Arial" w:hAnsi="Arial" w:cs="Arial"/>
                <w:b/>
                <w:color w:val="6C6361"/>
                <w:sz w:val="20"/>
                <w:szCs w:val="20"/>
                <w:u w:val="none"/>
              </w:rPr>
              <w:t>Kornerstone</w:t>
            </w:r>
            <w:proofErr w:type="spellEnd"/>
            <w:r w:rsidRPr="00320F79">
              <w:rPr>
                <w:rStyle w:val="Hyperlink"/>
                <w:rFonts w:ascii="Arial" w:hAnsi="Arial" w:cs="Arial"/>
                <w:b/>
                <w:color w:val="6C6361"/>
                <w:sz w:val="20"/>
                <w:szCs w:val="20"/>
                <w:u w:val="none"/>
              </w:rPr>
              <w:t xml:space="preserve"> Institute</w:t>
            </w:r>
          </w:p>
          <w:p w:rsidR="00C4335D" w:rsidRPr="00320F79" w:rsidRDefault="00C4335D" w:rsidP="00A05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C4335D" w:rsidRPr="00320F79" w:rsidRDefault="00C4335D" w:rsidP="00A05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C4335D" w:rsidRPr="00320F79" w:rsidRDefault="00C4335D" w:rsidP="00A05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C4335D" w:rsidRDefault="00C4335D" w:rsidP="00A05DED">
            <w:pPr>
              <w:jc w:val="right"/>
              <w:rPr>
                <w:rFonts w:ascii="Arial" w:hAnsi="Arial" w:cs="Arial"/>
                <w:b/>
                <w:color w:val="6C6361"/>
                <w:sz w:val="20"/>
                <w:szCs w:val="20"/>
              </w:rPr>
            </w:pPr>
          </w:p>
          <w:p w:rsidR="00C4335D" w:rsidRDefault="00C4335D" w:rsidP="00A05DED">
            <w:pPr>
              <w:jc w:val="right"/>
              <w:rPr>
                <w:rFonts w:ascii="Arial" w:hAnsi="Arial" w:cs="Arial"/>
                <w:b/>
                <w:color w:val="6C6361"/>
                <w:sz w:val="20"/>
                <w:szCs w:val="20"/>
              </w:rPr>
            </w:pPr>
          </w:p>
          <w:p w:rsidR="00C4335D" w:rsidRPr="00320F79" w:rsidRDefault="00C4335D" w:rsidP="00A05DED">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19FF507A" wp14:editId="72BF0593">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C4335D" w:rsidRPr="00E2201B" w:rsidRDefault="00C4335D" w:rsidP="00A05DED">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C4335D" w:rsidRPr="003A2A41" w:rsidRDefault="00C4335D" w:rsidP="00A05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C4335D" w:rsidRPr="003A2A41" w:rsidRDefault="00C4335D" w:rsidP="00A05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5" w:type="dxa"/>
            <w:tcBorders>
              <w:top w:val="single" w:sz="12" w:space="0" w:color="F0EBE1"/>
              <w:bottom w:val="nil"/>
              <w:right w:val="nil"/>
            </w:tcBorders>
            <w:shd w:val="clear" w:color="auto" w:fill="FFFFFF"/>
            <w:vAlign w:val="center"/>
          </w:tcPr>
          <w:p w:rsidR="00C4335D" w:rsidRPr="003A2A41" w:rsidRDefault="00C4335D" w:rsidP="00A05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C4335D" w:rsidRPr="003A2A41" w:rsidRDefault="00C4335D" w:rsidP="00A05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0" w:type="dxa"/>
            <w:tcBorders>
              <w:top w:val="single" w:sz="12" w:space="0" w:color="F0EBE1"/>
              <w:left w:val="nil"/>
              <w:bottom w:val="nil"/>
              <w:right w:val="nil"/>
            </w:tcBorders>
            <w:shd w:val="clear" w:color="auto" w:fill="FFFFFF"/>
            <w:vAlign w:val="center"/>
          </w:tcPr>
          <w:p w:rsidR="00C4335D" w:rsidRPr="00156567" w:rsidRDefault="00C4335D" w:rsidP="00A05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2545CD84" wp14:editId="01EA1733">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C4335D" w:rsidRDefault="00214BC6" w:rsidP="00C4335D"/>
    <w:sectPr w:rsidR="00214BC6" w:rsidRPr="00C4335D"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60E" w:rsidRDefault="003A160E" w:rsidP="00546556">
      <w:r>
        <w:separator/>
      </w:r>
    </w:p>
  </w:endnote>
  <w:endnote w:type="continuationSeparator" w:id="0">
    <w:p w:rsidR="003A160E" w:rsidRDefault="003A160E"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60E" w:rsidRDefault="003A160E" w:rsidP="00546556">
      <w:r>
        <w:separator/>
      </w:r>
    </w:p>
  </w:footnote>
  <w:footnote w:type="continuationSeparator" w:id="0">
    <w:p w:rsidR="003A160E" w:rsidRDefault="003A160E"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OTc+KsYrJl9c3LDY4vRW95xtFneYsihfu2x5EKSqAFzsC4Mcq5lPcUH1CtNXDHN0as4/+xtrP16jCvrJzIB2iw==" w:salt="GVIc9NP32xLbtXgmesfR7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rofectional.com/presenters/idl000011512/"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90/"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7658C-BA55-449E-B156-72AC50260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601</Words>
  <Characters>3432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CPD Course, RME Elective Course: Money Laundering for Beginners: An Introduction to Anti-Money Laundering</vt:lpstr>
    </vt:vector>
  </TitlesOfParts>
  <Manager>Tyrone Tsang</Manager>
  <Company>The Profectional Company Limited</Company>
  <LinksUpToDate>false</LinksUpToDate>
  <CharactersWithSpaces>4025</CharactersWithSpaces>
  <SharedDoc>false</SharedDoc>
  <HyperlinkBase>http://download.profectional.com/events/EVT000000190.docx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An Introduction to Cultural Heritage and the Law: Looting Tombs, Wrecks and Museums, and Trafficking Gold, Silver, Porcelain and Other Treasure in Peace, Conflict and Terror</dc:title>
  <dc:subject>CPD Course: An Introduction to Cultural Heritage and the Law: Looting Tombs, Wrecks and Museums, and Trafficking Gold, Silver, Porcelain and Other Treasure in Peace, Conflict and Terror</dc:subject>
  <dc:creator>The Profectional Company Limited</dc:creator>
  <cp:keywords>Profectional; Kornerstone; CPD; CPT; CLE; CE; RME; Steven Gallagher; Associate Professor of Practice in Law; Associate Dean (Teaching &amp; Learning);The Faculty of Law; The Chinese University of Hong Kong</cp:keywords>
  <cp:lastModifiedBy>Tyrone Tsang</cp:lastModifiedBy>
  <cp:revision>21</cp:revision>
  <cp:lastPrinted>2017-08-19T10:26:00Z</cp:lastPrinted>
  <dcterms:created xsi:type="dcterms:W3CDTF">2017-01-12T02:41:00Z</dcterms:created>
  <dcterms:modified xsi:type="dcterms:W3CDTF">2017-08-19T10:26:00Z</dcterms:modified>
</cp:coreProperties>
</file>