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2DB" w:rsidRPr="00DE32DB" w:rsidRDefault="00DE32DB" w:rsidP="00DE32DB">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DE32DB" w:rsidRPr="00523A64" w:rsidTr="00736C7E">
        <w:trPr>
          <w:trHeight w:val="3119"/>
          <w:jc w:val="center"/>
        </w:trPr>
        <w:tc>
          <w:tcPr>
            <w:tcW w:w="4820" w:type="dxa"/>
            <w:shd w:val="clear" w:color="auto" w:fill="FFFFFF"/>
            <w:vAlign w:val="center"/>
          </w:tcPr>
          <w:p w:rsidR="00DE32DB" w:rsidRPr="008259A9" w:rsidRDefault="00DE32DB" w:rsidP="00736C7E">
            <w:pPr>
              <w:jc w:val="center"/>
              <w:rPr>
                <w:rFonts w:ascii="Arial" w:hAnsi="Arial" w:cs="Arial"/>
                <w:b/>
                <w:bCs/>
                <w:color w:val="524B48"/>
                <w:sz w:val="4"/>
                <w:szCs w:val="4"/>
              </w:rPr>
            </w:pPr>
          </w:p>
          <w:p w:rsidR="00DE32DB" w:rsidRPr="00996455" w:rsidRDefault="00DE32DB" w:rsidP="00736C7E">
            <w:pPr>
              <w:jc w:val="center"/>
              <w:rPr>
                <w:rStyle w:val="Hyperlink"/>
                <w:rFonts w:ascii="Arial" w:hAnsi="Arial" w:cs="Arial"/>
                <w:b/>
                <w:bCs/>
                <w:color w:val="524B48"/>
                <w:sz w:val="32"/>
                <w:szCs w:val="32"/>
                <w:u w:val="none"/>
              </w:rPr>
            </w:pPr>
            <w:r>
              <w:fldChar w:fldCharType="begin"/>
            </w:r>
            <w:r>
              <w:instrText>HYPERLINK "http://cpd.hk/evt000000192/"</w:instrText>
            </w:r>
            <w:r>
              <w:fldChar w:fldCharType="separate"/>
            </w:r>
            <w:r w:rsidRPr="00996455">
              <w:rPr>
                <w:rStyle w:val="Hyperlink"/>
                <w:rFonts w:ascii="Arial" w:hAnsi="Arial" w:cs="Arial"/>
                <w:b/>
                <w:bCs/>
                <w:color w:val="524B48"/>
                <w:sz w:val="32"/>
                <w:szCs w:val="32"/>
                <w:u w:val="none"/>
              </w:rPr>
              <w:t>Exercise of Discretion by</w:t>
            </w:r>
          </w:p>
          <w:p w:rsidR="00DE32DB" w:rsidRPr="00996455" w:rsidRDefault="00DE32DB" w:rsidP="00736C7E">
            <w:pPr>
              <w:jc w:val="center"/>
              <w:rPr>
                <w:rStyle w:val="Hyperlink"/>
                <w:rFonts w:ascii="Arial" w:hAnsi="Arial" w:cs="Arial"/>
                <w:b/>
                <w:bCs/>
                <w:color w:val="524B48"/>
                <w:sz w:val="32"/>
                <w:szCs w:val="32"/>
                <w:u w:val="none"/>
              </w:rPr>
            </w:pPr>
            <w:r w:rsidRPr="00996455">
              <w:rPr>
                <w:rStyle w:val="Hyperlink"/>
                <w:rFonts w:ascii="Arial" w:hAnsi="Arial" w:cs="Arial"/>
                <w:b/>
                <w:bCs/>
                <w:color w:val="524B48"/>
                <w:sz w:val="32"/>
                <w:szCs w:val="32"/>
                <w:u w:val="none"/>
              </w:rPr>
              <w:t>Public Decision-Makers:</w:t>
            </w:r>
          </w:p>
          <w:p w:rsidR="00DE32DB" w:rsidRPr="00996455" w:rsidRDefault="00DE32DB" w:rsidP="00736C7E">
            <w:pPr>
              <w:jc w:val="center"/>
              <w:rPr>
                <w:rStyle w:val="Hyperlink"/>
                <w:rFonts w:ascii="Arial" w:hAnsi="Arial" w:cs="Arial"/>
                <w:b/>
                <w:bCs/>
                <w:color w:val="524B48"/>
                <w:sz w:val="32"/>
                <w:szCs w:val="32"/>
                <w:u w:val="none"/>
              </w:rPr>
            </w:pPr>
            <w:r w:rsidRPr="00996455">
              <w:rPr>
                <w:rStyle w:val="Hyperlink"/>
                <w:rFonts w:ascii="Arial" w:hAnsi="Arial" w:cs="Arial"/>
                <w:b/>
                <w:bCs/>
                <w:color w:val="524B48"/>
                <w:sz w:val="32"/>
                <w:szCs w:val="32"/>
                <w:u w:val="none"/>
              </w:rPr>
              <w:t>Common Pitfalls</w:t>
            </w:r>
          </w:p>
          <w:p w:rsidR="00DE32DB" w:rsidRPr="00996455" w:rsidRDefault="00DE32DB" w:rsidP="00736C7E">
            <w:pPr>
              <w:jc w:val="center"/>
              <w:rPr>
                <w:rStyle w:val="Hyperlink"/>
                <w:rFonts w:ascii="Arial" w:hAnsi="Arial" w:cs="Arial"/>
                <w:b/>
                <w:bCs/>
                <w:color w:val="524B48"/>
                <w:sz w:val="32"/>
                <w:szCs w:val="32"/>
                <w:u w:val="none"/>
              </w:rPr>
            </w:pPr>
            <w:r w:rsidRPr="00996455">
              <w:rPr>
                <w:rStyle w:val="Hyperlink"/>
                <w:rFonts w:ascii="Arial" w:hAnsi="Arial" w:cs="Arial"/>
                <w:b/>
                <w:bCs/>
                <w:color w:val="524B48"/>
                <w:sz w:val="32"/>
                <w:szCs w:val="32"/>
                <w:u w:val="none"/>
              </w:rPr>
              <w:t>and How to Avoid</w:t>
            </w:r>
          </w:p>
          <w:p w:rsidR="00DE32DB" w:rsidRPr="00032DE4" w:rsidRDefault="00DE32DB" w:rsidP="00736C7E">
            <w:pPr>
              <w:jc w:val="center"/>
              <w:rPr>
                <w:rFonts w:ascii="Arial" w:hAnsi="Arial" w:cs="Arial"/>
                <w:b/>
                <w:bCs/>
                <w:color w:val="524B48"/>
                <w:sz w:val="32"/>
                <w:szCs w:val="32"/>
              </w:rPr>
            </w:pPr>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fldChar w:fldCharType="end"/>
            </w:r>
          </w:p>
          <w:p w:rsidR="00DE32DB" w:rsidRPr="00731F7F" w:rsidRDefault="00DE32DB" w:rsidP="00736C7E">
            <w:pPr>
              <w:jc w:val="center"/>
              <w:rPr>
                <w:rFonts w:ascii="Arial" w:hAnsi="Arial" w:cs="Arial"/>
                <w:b/>
                <w:bCs/>
                <w:sz w:val="24"/>
                <w:szCs w:val="28"/>
              </w:rPr>
            </w:pPr>
          </w:p>
          <w:p w:rsidR="00DE32DB" w:rsidRPr="009D67FA" w:rsidRDefault="00DE32DB" w:rsidP="00736C7E">
            <w:pPr>
              <w:jc w:val="center"/>
              <w:rPr>
                <w:rFonts w:ascii="Arial" w:hAnsi="Arial" w:cs="Arial"/>
                <w:i/>
                <w:color w:val="6C6361"/>
                <w:sz w:val="24"/>
                <w:szCs w:val="24"/>
              </w:rPr>
            </w:pPr>
            <w:r w:rsidRPr="009D67FA">
              <w:rPr>
                <w:rFonts w:ascii="Arial" w:hAnsi="Arial" w:cs="Arial"/>
                <w:i/>
                <w:color w:val="6C6361"/>
                <w:sz w:val="24"/>
                <w:szCs w:val="24"/>
              </w:rPr>
              <w:t>by</w:t>
            </w:r>
          </w:p>
          <w:p w:rsidR="00DE32DB" w:rsidRDefault="00DE32DB" w:rsidP="00736C7E">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DE32DB" w:rsidRDefault="00DE32DB" w:rsidP="00736C7E">
            <w:pPr>
              <w:spacing w:line="276" w:lineRule="auto"/>
              <w:jc w:val="center"/>
              <w:rPr>
                <w:rFonts w:ascii="Arial" w:hAnsi="Arial" w:cs="Arial"/>
                <w:color w:val="6C6361"/>
                <w:sz w:val="24"/>
                <w:szCs w:val="24"/>
              </w:rPr>
            </w:pPr>
            <w:r>
              <w:rPr>
                <w:rFonts w:ascii="Arial" w:hAnsi="Arial" w:cs="Arial"/>
                <w:color w:val="6C6361"/>
                <w:sz w:val="24"/>
                <w:szCs w:val="24"/>
              </w:rPr>
              <w:t>Assistant Professor,</w:t>
            </w:r>
          </w:p>
          <w:p w:rsidR="00DE32DB" w:rsidRDefault="00DE32DB" w:rsidP="00736C7E">
            <w:pPr>
              <w:spacing w:line="276" w:lineRule="auto"/>
              <w:jc w:val="center"/>
              <w:rPr>
                <w:rFonts w:ascii="Arial" w:hAnsi="Arial" w:cs="Arial"/>
                <w:color w:val="6C6361"/>
                <w:sz w:val="24"/>
                <w:szCs w:val="24"/>
              </w:rPr>
            </w:pPr>
            <w:r>
              <w:rPr>
                <w:rFonts w:ascii="Arial" w:hAnsi="Arial" w:cs="Arial"/>
                <w:color w:val="6C6361"/>
                <w:sz w:val="24"/>
                <w:szCs w:val="24"/>
              </w:rPr>
              <w:t>The Chinese University of Hong Kong</w:t>
            </w:r>
          </w:p>
          <w:p w:rsidR="00DE32DB" w:rsidRPr="008259A9" w:rsidRDefault="00DE32DB" w:rsidP="00736C7E">
            <w:pPr>
              <w:jc w:val="center"/>
              <w:rPr>
                <w:rFonts w:ascii="Arial" w:hAnsi="Arial" w:cs="Arial"/>
                <w:color w:val="6C6361"/>
                <w:sz w:val="4"/>
                <w:szCs w:val="4"/>
              </w:rPr>
            </w:pPr>
          </w:p>
        </w:tc>
        <w:tc>
          <w:tcPr>
            <w:tcW w:w="5954" w:type="dxa"/>
            <w:shd w:val="clear" w:color="auto" w:fill="FFFFFF"/>
            <w:vAlign w:val="center"/>
          </w:tcPr>
          <w:p w:rsidR="00DE32DB" w:rsidRPr="00D50772" w:rsidRDefault="00DE32DB" w:rsidP="00736C7E">
            <w:pPr>
              <w:spacing w:line="276" w:lineRule="auto"/>
              <w:jc w:val="center"/>
              <w:rPr>
                <w:rFonts w:ascii="Arial" w:eastAsia="Times New Roman" w:hAnsi="Arial" w:cs="Arial"/>
                <w:noProof/>
                <w:sz w:val="20"/>
                <w:szCs w:val="20"/>
              </w:rPr>
            </w:pPr>
            <w:r w:rsidRPr="00996455">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3A4F3269" wp14:editId="0B4DABC2">
                  <wp:simplePos x="0" y="0"/>
                  <wp:positionH relativeFrom="column">
                    <wp:posOffset>3175635</wp:posOffset>
                  </wp:positionH>
                  <wp:positionV relativeFrom="paragraph">
                    <wp:posOffset>-157480</wp:posOffset>
                  </wp:positionV>
                  <wp:extent cx="539750" cy="546735"/>
                  <wp:effectExtent l="0" t="0" r="0" b="5715"/>
                  <wp:wrapNone/>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3DC2DB23" wp14:editId="775DA740">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DE32DB" w:rsidRPr="00F26BAF" w:rsidRDefault="00DE32DB" w:rsidP="00DE32DB">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DE32DB" w:rsidRPr="00F26BAF" w:rsidTr="00736C7E">
        <w:trPr>
          <w:trHeight w:val="3832"/>
          <w:jc w:val="center"/>
        </w:trPr>
        <w:tc>
          <w:tcPr>
            <w:tcW w:w="1985" w:type="dxa"/>
            <w:shd w:val="clear" w:color="auto" w:fill="FFFFFF"/>
            <w:vAlign w:val="center"/>
          </w:tcPr>
          <w:p w:rsidR="00DE32DB" w:rsidRPr="00F26BAF" w:rsidRDefault="00DE32DB" w:rsidP="00736C7E">
            <w:pPr>
              <w:spacing w:line="276" w:lineRule="auto"/>
              <w:jc w:val="center"/>
              <w:rPr>
                <w:rFonts w:ascii="Arial" w:hAnsi="Arial" w:cs="Arial"/>
                <w:sz w:val="24"/>
                <w:szCs w:val="24"/>
              </w:rPr>
            </w:pPr>
            <w:r w:rsidRPr="00F26BAF">
              <w:rPr>
                <w:rFonts w:ascii="Arial" w:hAnsi="Arial" w:cs="Arial"/>
                <w:noProof/>
                <w:sz w:val="24"/>
                <w:szCs w:val="24"/>
              </w:rPr>
              <w:drawing>
                <wp:inline distT="0" distB="0" distL="0" distR="0" wp14:anchorId="5EE644C6" wp14:editId="42E949F4">
                  <wp:extent cx="1078705" cy="1438273"/>
                  <wp:effectExtent l="0" t="0" r="7620" b="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DE32DB" w:rsidRPr="00F26BAF" w:rsidRDefault="00DE32DB" w:rsidP="00736C7E">
            <w:pPr>
              <w:spacing w:line="276" w:lineRule="auto"/>
              <w:rPr>
                <w:rFonts w:ascii="Arial" w:hAnsi="Arial" w:cs="Arial"/>
                <w:sz w:val="24"/>
                <w:szCs w:val="24"/>
              </w:rPr>
            </w:pPr>
            <w:r w:rsidRPr="00BD7501">
              <w:rPr>
                <w:rFonts w:ascii="Arial" w:hAnsi="Arial" w:cs="Arial"/>
                <w:color w:val="6C6361"/>
                <w:sz w:val="24"/>
                <w:szCs w:val="24"/>
              </w:rPr>
              <w:t>Stephen Thomson is an Assistant Professor at the Chinese University of Hong Kong (CUHK), where he leads teaching in administrative law.  Dr. Thomson holds a Ph.D. in judicial review from the University of Edinburgh (UK), where he previously taught constitutional and administrative law on a part-time basis.  In addition to his experience in the field of administrative law, Dr. Thomson is the leading authority on equitable jurisdiction in Scotland where he has written the only book on that subject.  Dr. Thomson has practical legal and commercial experience, having worked at law firms and barristers' chambers in the UK and Channel Islands.  He has acted on a consultancy basis to law firms, private clients and public bodies in Hong Kong and the UK.  Dr. Thomson is also a Legal Adviser to the Ombudsman of Hong Kong.</w:t>
            </w:r>
          </w:p>
        </w:tc>
      </w:tr>
    </w:tbl>
    <w:p w:rsidR="00DE32DB" w:rsidRPr="00F26BAF" w:rsidRDefault="00DE32DB" w:rsidP="00DE32DB">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DE32DB" w:rsidRPr="00BD7501" w:rsidTr="00736C7E">
        <w:trPr>
          <w:trHeight w:val="5951"/>
          <w:jc w:val="center"/>
        </w:trPr>
        <w:tc>
          <w:tcPr>
            <w:tcW w:w="10773" w:type="dxa"/>
            <w:shd w:val="clear" w:color="auto" w:fill="FFFFFF"/>
            <w:vAlign w:val="center"/>
          </w:tcPr>
          <w:p w:rsidR="00DE32DB" w:rsidRPr="00996455" w:rsidRDefault="00DE32DB" w:rsidP="00736C7E">
            <w:pPr>
              <w:spacing w:line="276" w:lineRule="auto"/>
              <w:rPr>
                <w:rFonts w:ascii="Arial" w:hAnsi="Arial" w:cs="Arial"/>
                <w:color w:val="6C6361"/>
                <w:sz w:val="24"/>
                <w:szCs w:val="24"/>
              </w:rPr>
            </w:pPr>
            <w:r w:rsidRPr="00996455">
              <w:rPr>
                <w:rFonts w:ascii="Arial" w:hAnsi="Arial" w:cs="Arial"/>
                <w:color w:val="6C6361"/>
                <w:sz w:val="24"/>
                <w:szCs w:val="24"/>
              </w:rPr>
              <w:t>This is an intermediate level course on the exercise of discretion by public decision-makers in the context of judicial review (administrative law) in Hong Kong.  It will begin by examining what discretion is and some of its underlying ideas and concepts.</w:t>
            </w:r>
          </w:p>
          <w:p w:rsidR="00DE32DB" w:rsidRPr="00996455" w:rsidRDefault="00DE32DB" w:rsidP="00736C7E">
            <w:pPr>
              <w:spacing w:line="276" w:lineRule="auto"/>
              <w:rPr>
                <w:rFonts w:ascii="Arial" w:hAnsi="Arial" w:cs="Arial"/>
                <w:color w:val="6C6361"/>
                <w:sz w:val="12"/>
                <w:szCs w:val="12"/>
              </w:rPr>
            </w:pPr>
          </w:p>
          <w:p w:rsidR="00DE32DB" w:rsidRPr="00996455" w:rsidRDefault="00DE32DB" w:rsidP="00736C7E">
            <w:pPr>
              <w:spacing w:line="276" w:lineRule="auto"/>
              <w:rPr>
                <w:rFonts w:ascii="Arial" w:hAnsi="Arial" w:cs="Arial"/>
                <w:color w:val="6C6361"/>
                <w:sz w:val="24"/>
                <w:szCs w:val="24"/>
              </w:rPr>
            </w:pPr>
            <w:r w:rsidRPr="00996455">
              <w:rPr>
                <w:rFonts w:ascii="Arial" w:hAnsi="Arial" w:cs="Arial"/>
                <w:color w:val="6C6361"/>
                <w:sz w:val="24"/>
                <w:szCs w:val="24"/>
              </w:rPr>
              <w:t>The course will then explore three principal areas in which it will be considered how public decision-makers should exercise discretion to reduce the prospects of being successfully judicially reviewed.  These are:</w:t>
            </w:r>
          </w:p>
          <w:p w:rsidR="00DE32DB" w:rsidRPr="00996455" w:rsidRDefault="00DE32DB" w:rsidP="00736C7E">
            <w:pPr>
              <w:spacing w:line="276" w:lineRule="auto"/>
              <w:rPr>
                <w:rFonts w:ascii="Arial" w:hAnsi="Arial" w:cs="Arial"/>
                <w:color w:val="6C6361"/>
                <w:sz w:val="12"/>
                <w:szCs w:val="12"/>
              </w:rPr>
            </w:pPr>
          </w:p>
          <w:p w:rsidR="00DE32DB" w:rsidRDefault="00DE32DB" w:rsidP="00DE32DB">
            <w:pPr>
              <w:pStyle w:val="ListParagraph"/>
              <w:numPr>
                <w:ilvl w:val="0"/>
                <w:numId w:val="20"/>
              </w:numPr>
              <w:spacing w:line="276" w:lineRule="auto"/>
              <w:ind w:left="601"/>
              <w:rPr>
                <w:rFonts w:ascii="Arial" w:hAnsi="Arial" w:cs="Arial"/>
                <w:color w:val="6C6361"/>
                <w:sz w:val="24"/>
                <w:szCs w:val="24"/>
              </w:rPr>
            </w:pPr>
            <w:r w:rsidRPr="00996455">
              <w:rPr>
                <w:rFonts w:ascii="Arial" w:hAnsi="Arial" w:cs="Arial"/>
                <w:color w:val="6C6361"/>
                <w:sz w:val="24"/>
                <w:szCs w:val="24"/>
              </w:rPr>
              <w:t>The role of policies, how they should be formulated and how they should be applied;</w:t>
            </w:r>
          </w:p>
          <w:p w:rsidR="00DE32DB" w:rsidRDefault="00DE32DB" w:rsidP="00DE32DB">
            <w:pPr>
              <w:pStyle w:val="ListParagraph"/>
              <w:numPr>
                <w:ilvl w:val="0"/>
                <w:numId w:val="20"/>
              </w:numPr>
              <w:spacing w:line="276" w:lineRule="auto"/>
              <w:ind w:left="601"/>
              <w:rPr>
                <w:rFonts w:ascii="Arial" w:hAnsi="Arial" w:cs="Arial"/>
                <w:color w:val="6C6361"/>
                <w:sz w:val="24"/>
                <w:szCs w:val="24"/>
              </w:rPr>
            </w:pPr>
            <w:r w:rsidRPr="00996455">
              <w:rPr>
                <w:rFonts w:ascii="Arial" w:hAnsi="Arial" w:cs="Arial"/>
                <w:color w:val="6C6361"/>
                <w:sz w:val="24"/>
                <w:szCs w:val="24"/>
              </w:rPr>
              <w:t>Relevance of considerations, failure to take into account relevant considerations and taking into account irrelevant considerations; and</w:t>
            </w:r>
          </w:p>
          <w:p w:rsidR="00DE32DB" w:rsidRPr="00996455" w:rsidRDefault="00DE32DB" w:rsidP="00DE32DB">
            <w:pPr>
              <w:pStyle w:val="ListParagraph"/>
              <w:numPr>
                <w:ilvl w:val="0"/>
                <w:numId w:val="20"/>
              </w:numPr>
              <w:spacing w:line="276" w:lineRule="auto"/>
              <w:ind w:left="601"/>
              <w:rPr>
                <w:rFonts w:ascii="Arial" w:hAnsi="Arial" w:cs="Arial"/>
                <w:color w:val="6C6361"/>
                <w:sz w:val="24"/>
                <w:szCs w:val="24"/>
              </w:rPr>
            </w:pPr>
            <w:r w:rsidRPr="00996455">
              <w:rPr>
                <w:rFonts w:ascii="Arial" w:hAnsi="Arial" w:cs="Arial"/>
                <w:color w:val="6C6361"/>
                <w:sz w:val="24"/>
                <w:szCs w:val="24"/>
              </w:rPr>
              <w:t>Reasonableness, rationality and cogency of the exercise of discretion.</w:t>
            </w:r>
          </w:p>
          <w:p w:rsidR="00DE32DB" w:rsidRPr="00996455" w:rsidRDefault="00DE32DB" w:rsidP="00736C7E">
            <w:pPr>
              <w:spacing w:line="276" w:lineRule="auto"/>
              <w:rPr>
                <w:rFonts w:ascii="Arial" w:hAnsi="Arial" w:cs="Arial"/>
                <w:color w:val="6C6361"/>
                <w:sz w:val="12"/>
                <w:szCs w:val="12"/>
              </w:rPr>
            </w:pPr>
          </w:p>
          <w:p w:rsidR="00DE32DB" w:rsidRPr="00996455" w:rsidRDefault="00DE32DB" w:rsidP="00736C7E">
            <w:pPr>
              <w:spacing w:line="276" w:lineRule="auto"/>
              <w:rPr>
                <w:rFonts w:ascii="Arial" w:hAnsi="Arial" w:cs="Arial"/>
                <w:color w:val="6C6361"/>
                <w:sz w:val="24"/>
                <w:szCs w:val="24"/>
              </w:rPr>
            </w:pPr>
            <w:r w:rsidRPr="00996455">
              <w:rPr>
                <w:rFonts w:ascii="Arial" w:hAnsi="Arial" w:cs="Arial"/>
                <w:color w:val="6C6361"/>
                <w:sz w:val="24"/>
                <w:szCs w:val="24"/>
              </w:rPr>
              <w:t xml:space="preserve">In each of these areas, we will consider common pitfalls that can lead decision-makers to violate one or more grounds of judicial review, and what decision-makers can do to </w:t>
            </w:r>
            <w:proofErr w:type="spellStart"/>
            <w:r w:rsidRPr="00996455">
              <w:rPr>
                <w:rFonts w:ascii="Arial" w:hAnsi="Arial" w:cs="Arial"/>
                <w:color w:val="6C6361"/>
                <w:sz w:val="24"/>
                <w:szCs w:val="24"/>
              </w:rPr>
              <w:t>minimise</w:t>
            </w:r>
            <w:proofErr w:type="spellEnd"/>
            <w:r w:rsidRPr="00996455">
              <w:rPr>
                <w:rFonts w:ascii="Arial" w:hAnsi="Arial" w:cs="Arial"/>
                <w:color w:val="6C6361"/>
                <w:sz w:val="24"/>
                <w:szCs w:val="24"/>
              </w:rPr>
              <w:t xml:space="preserve"> the prospects of being successfully judicially reviewed.</w:t>
            </w:r>
          </w:p>
          <w:p w:rsidR="00DE32DB" w:rsidRPr="00996455" w:rsidRDefault="00DE32DB" w:rsidP="00736C7E">
            <w:pPr>
              <w:spacing w:line="276" w:lineRule="auto"/>
              <w:rPr>
                <w:rFonts w:ascii="Arial" w:hAnsi="Arial" w:cs="Arial"/>
                <w:color w:val="6C6361"/>
                <w:sz w:val="12"/>
                <w:szCs w:val="12"/>
              </w:rPr>
            </w:pPr>
          </w:p>
          <w:p w:rsidR="00DE32DB" w:rsidRPr="00BD7501" w:rsidRDefault="00DE32DB" w:rsidP="00736C7E">
            <w:pPr>
              <w:spacing w:line="276" w:lineRule="auto"/>
              <w:rPr>
                <w:rFonts w:ascii="Arial" w:hAnsi="Arial" w:cs="Arial"/>
                <w:color w:val="6C6361"/>
                <w:sz w:val="24"/>
                <w:szCs w:val="24"/>
              </w:rPr>
            </w:pPr>
            <w:r w:rsidRPr="00996455">
              <w:rPr>
                <w:rFonts w:ascii="Arial" w:hAnsi="Arial" w:cs="Arial"/>
                <w:color w:val="6C6361"/>
                <w:sz w:val="24"/>
                <w:szCs w:val="24"/>
              </w:rPr>
              <w:t>While this is plainly of interest to practitioners representing or working for public decision-makers, it is also useful for practitioners representing applicants for judicial review in terms of understanding the legal obligations of public decision-makers in this area.</w:t>
            </w:r>
          </w:p>
        </w:tc>
      </w:tr>
    </w:tbl>
    <w:p w:rsidR="00DE32DB" w:rsidRPr="00F26BAF" w:rsidRDefault="00DE32DB" w:rsidP="00DE32DB">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DE32DB" w:rsidRPr="00BD7501" w:rsidTr="00736C7E">
        <w:trPr>
          <w:trHeight w:val="397"/>
          <w:jc w:val="center"/>
        </w:trPr>
        <w:tc>
          <w:tcPr>
            <w:tcW w:w="10773" w:type="dxa"/>
            <w:gridSpan w:val="2"/>
            <w:tcBorders>
              <w:top w:val="nil"/>
            </w:tcBorders>
            <w:shd w:val="clear" w:color="auto" w:fill="F0EBE1"/>
            <w:vAlign w:val="center"/>
          </w:tcPr>
          <w:p w:rsidR="00DE32DB" w:rsidRPr="00BD7501" w:rsidRDefault="00DE32DB" w:rsidP="00736C7E">
            <w:pPr>
              <w:spacing w:line="276" w:lineRule="auto"/>
              <w:jc w:val="left"/>
              <w:rPr>
                <w:rFonts w:ascii="Arial" w:hAnsi="Arial" w:cs="Arial"/>
                <w:b/>
                <w:color w:val="524B48"/>
                <w:sz w:val="24"/>
                <w:szCs w:val="24"/>
              </w:rPr>
            </w:pPr>
            <w:r w:rsidRPr="00BD7501">
              <w:rPr>
                <w:rFonts w:ascii="Arial" w:hAnsi="Arial" w:cs="Arial"/>
                <w:b/>
                <w:color w:val="524B48"/>
                <w:sz w:val="24"/>
                <w:szCs w:val="24"/>
              </w:rPr>
              <w:lastRenderedPageBreak/>
              <w:t>Contents</w:t>
            </w:r>
          </w:p>
        </w:tc>
      </w:tr>
      <w:tr w:rsidR="00DE32DB" w:rsidRPr="00BD7501" w:rsidTr="00736C7E">
        <w:trPr>
          <w:trHeight w:val="4144"/>
          <w:jc w:val="center"/>
        </w:trPr>
        <w:tc>
          <w:tcPr>
            <w:tcW w:w="8931" w:type="dxa"/>
            <w:tcBorders>
              <w:bottom w:val="nil"/>
              <w:right w:val="nil"/>
            </w:tcBorders>
            <w:shd w:val="clear" w:color="auto" w:fill="FFFFFF"/>
            <w:vAlign w:val="center"/>
          </w:tcPr>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What is discretion?</w:t>
            </w:r>
          </w:p>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The role of policies in decision-making</w:t>
            </w:r>
          </w:p>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How should policies be formulated?</w:t>
            </w:r>
          </w:p>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How should policies be applied?</w:t>
            </w:r>
          </w:p>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What are relevant considerations and how should they be folded into the decision-making process?</w:t>
            </w:r>
          </w:p>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What are irrelevant considerations and how should they be excluded from the decision-making process?</w:t>
            </w:r>
          </w:p>
          <w:p w:rsidR="00DE32DB" w:rsidRPr="00996455"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What is unreasonableness and irrationality review?</w:t>
            </w:r>
          </w:p>
          <w:p w:rsidR="00DE32DB" w:rsidRPr="00BD7501" w:rsidRDefault="00DE32DB" w:rsidP="00736C7E">
            <w:pPr>
              <w:pStyle w:val="ListParagraph"/>
              <w:numPr>
                <w:ilvl w:val="0"/>
                <w:numId w:val="2"/>
              </w:numPr>
              <w:spacing w:line="276" w:lineRule="auto"/>
              <w:rPr>
                <w:rFonts w:ascii="Arial" w:hAnsi="Arial" w:cs="Arial"/>
                <w:color w:val="6C6361"/>
                <w:sz w:val="24"/>
                <w:szCs w:val="24"/>
              </w:rPr>
            </w:pPr>
            <w:r w:rsidRPr="00996455">
              <w:rPr>
                <w:rFonts w:ascii="Arial" w:hAnsi="Arial" w:cs="Arial"/>
                <w:color w:val="6C6361"/>
                <w:sz w:val="24"/>
                <w:szCs w:val="24"/>
              </w:rPr>
              <w:t xml:space="preserve">How can decision-makers exercise discretion in a way which </w:t>
            </w:r>
            <w:proofErr w:type="spellStart"/>
            <w:r w:rsidRPr="00996455">
              <w:rPr>
                <w:rFonts w:ascii="Arial" w:hAnsi="Arial" w:cs="Arial"/>
                <w:color w:val="6C6361"/>
                <w:sz w:val="24"/>
                <w:szCs w:val="24"/>
              </w:rPr>
              <w:t>minimises</w:t>
            </w:r>
            <w:proofErr w:type="spellEnd"/>
            <w:r w:rsidRPr="00996455">
              <w:rPr>
                <w:rFonts w:ascii="Arial" w:hAnsi="Arial" w:cs="Arial"/>
                <w:color w:val="6C6361"/>
                <w:sz w:val="24"/>
                <w:szCs w:val="24"/>
              </w:rPr>
              <w:t xml:space="preserve"> the prospects of being successfully reviewed on the basis of unreasonableness and irrationality?</w:t>
            </w:r>
          </w:p>
        </w:tc>
        <w:tc>
          <w:tcPr>
            <w:tcW w:w="1842" w:type="dxa"/>
            <w:tcBorders>
              <w:left w:val="nil"/>
              <w:bottom w:val="nil"/>
            </w:tcBorders>
            <w:shd w:val="clear" w:color="auto" w:fill="FFFFFF"/>
            <w:vAlign w:val="center"/>
          </w:tcPr>
          <w:p w:rsidR="00DE32DB" w:rsidRDefault="00DE32DB" w:rsidP="00736C7E">
            <w:pPr>
              <w:spacing w:line="276" w:lineRule="auto"/>
              <w:jc w:val="center"/>
              <w:rPr>
                <w:rFonts w:ascii="Arial" w:hAnsi="Arial" w:cs="Arial"/>
                <w:color w:val="6C6361"/>
                <w:sz w:val="24"/>
                <w:szCs w:val="24"/>
              </w:rPr>
            </w:pPr>
          </w:p>
          <w:p w:rsidR="00DE32DB" w:rsidRDefault="00DE32DB" w:rsidP="00736C7E">
            <w:pPr>
              <w:spacing w:line="276" w:lineRule="auto"/>
              <w:jc w:val="center"/>
              <w:rPr>
                <w:rFonts w:ascii="Arial" w:hAnsi="Arial" w:cs="Arial"/>
                <w:color w:val="6C6361"/>
                <w:sz w:val="24"/>
                <w:szCs w:val="24"/>
              </w:rPr>
            </w:pPr>
          </w:p>
          <w:p w:rsidR="00DE32DB" w:rsidRDefault="00DE32DB" w:rsidP="00736C7E">
            <w:pPr>
              <w:spacing w:line="276" w:lineRule="auto"/>
              <w:jc w:val="center"/>
              <w:rPr>
                <w:rFonts w:ascii="Arial" w:hAnsi="Arial" w:cs="Arial"/>
                <w:color w:val="6C6361"/>
                <w:sz w:val="24"/>
                <w:szCs w:val="24"/>
              </w:rPr>
            </w:pPr>
          </w:p>
          <w:p w:rsidR="00DE32DB" w:rsidRDefault="00DE32DB" w:rsidP="00736C7E">
            <w:pPr>
              <w:spacing w:line="276" w:lineRule="auto"/>
              <w:jc w:val="center"/>
              <w:rPr>
                <w:rFonts w:ascii="Arial" w:hAnsi="Arial" w:cs="Arial"/>
                <w:color w:val="6C6361"/>
                <w:sz w:val="24"/>
                <w:szCs w:val="24"/>
              </w:rPr>
            </w:pPr>
          </w:p>
          <w:p w:rsidR="00DE32DB" w:rsidRDefault="00DE32DB" w:rsidP="00736C7E">
            <w:pPr>
              <w:spacing w:line="276" w:lineRule="auto"/>
              <w:jc w:val="center"/>
              <w:rPr>
                <w:rFonts w:ascii="Arial" w:hAnsi="Arial" w:cs="Arial"/>
                <w:color w:val="6C6361"/>
                <w:sz w:val="24"/>
                <w:szCs w:val="24"/>
              </w:rPr>
            </w:pPr>
          </w:p>
          <w:p w:rsidR="00DE32DB" w:rsidRDefault="00DE32DB" w:rsidP="00736C7E">
            <w:pPr>
              <w:spacing w:line="276" w:lineRule="auto"/>
              <w:jc w:val="center"/>
              <w:rPr>
                <w:rFonts w:ascii="Arial" w:hAnsi="Arial" w:cs="Arial"/>
                <w:color w:val="6C6361"/>
                <w:sz w:val="24"/>
                <w:szCs w:val="24"/>
              </w:rPr>
            </w:pPr>
          </w:p>
          <w:p w:rsidR="00DE32DB" w:rsidRDefault="00DE32DB" w:rsidP="00736C7E">
            <w:pPr>
              <w:spacing w:line="276" w:lineRule="auto"/>
              <w:jc w:val="center"/>
              <w:rPr>
                <w:rFonts w:ascii="Arial" w:hAnsi="Arial" w:cs="Arial"/>
                <w:color w:val="6C6361"/>
                <w:sz w:val="24"/>
                <w:szCs w:val="24"/>
              </w:rPr>
            </w:pPr>
          </w:p>
          <w:p w:rsidR="00DE32DB" w:rsidRPr="00D237B1" w:rsidRDefault="00DE32DB" w:rsidP="00736C7E">
            <w:pPr>
              <w:spacing w:line="276" w:lineRule="auto"/>
              <w:jc w:val="center"/>
              <w:rPr>
                <w:rFonts w:ascii="Arial" w:hAnsi="Arial" w:cs="Arial"/>
                <w:color w:val="6C6361"/>
                <w:sz w:val="24"/>
                <w:szCs w:val="24"/>
              </w:rPr>
            </w:pPr>
            <w:r w:rsidRPr="00D9659C">
              <w:rPr>
                <w:rFonts w:ascii="Arial" w:hAnsi="Arial" w:cs="Arial"/>
                <w:noProof/>
                <w:color w:val="6C6361"/>
                <w:sz w:val="24"/>
                <w:szCs w:val="24"/>
              </w:rPr>
              <w:drawing>
                <wp:inline distT="0" distB="0" distL="0" distR="0" wp14:anchorId="0AC6F04F" wp14:editId="0CFDB1F0">
                  <wp:extent cx="892800" cy="10188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DE32DB" w:rsidRDefault="00DE32DB" w:rsidP="00DE32DB">
      <w:pPr>
        <w:spacing w:line="276" w:lineRule="auto"/>
        <w:jc w:val="left"/>
        <w:rPr>
          <w:rFonts w:ascii="Arial" w:hAnsi="Arial" w:cs="Arial"/>
          <w:sz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DE32DB" w:rsidRPr="005A2F25" w:rsidTr="00736C7E">
        <w:trPr>
          <w:trHeight w:val="454"/>
          <w:jc w:val="center"/>
        </w:trPr>
        <w:tc>
          <w:tcPr>
            <w:tcW w:w="1701" w:type="dxa"/>
            <w:tcBorders>
              <w:top w:val="nil"/>
              <w:left w:val="nil"/>
              <w:bottom w:val="single" w:sz="12" w:space="0" w:color="FFFFFF"/>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EVT000000192</w:t>
            </w:r>
          </w:p>
        </w:tc>
        <w:tc>
          <w:tcPr>
            <w:tcW w:w="1701" w:type="dxa"/>
            <w:tcBorders>
              <w:top w:val="nil"/>
              <w:bottom w:val="single" w:sz="12" w:space="0" w:color="FFFFFF"/>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DE32DB" w:rsidRPr="005A2F25" w:rsidTr="00736C7E">
        <w:trPr>
          <w:trHeight w:val="454"/>
          <w:jc w:val="center"/>
        </w:trPr>
        <w:tc>
          <w:tcPr>
            <w:tcW w:w="1701" w:type="dxa"/>
            <w:tcBorders>
              <w:top w:val="single" w:sz="12" w:space="0" w:color="FFFFFF"/>
              <w:left w:val="nil"/>
              <w:bottom w:val="single" w:sz="12" w:space="0" w:color="FFFFFF"/>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DE32DB" w:rsidRPr="006B70C1"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13 October 2017 (Friday) (Amended)</w:t>
            </w:r>
          </w:p>
        </w:tc>
        <w:tc>
          <w:tcPr>
            <w:tcW w:w="1701" w:type="dxa"/>
            <w:tcBorders>
              <w:top w:val="single" w:sz="12" w:space="0" w:color="FFFFFF"/>
              <w:bottom w:val="single" w:sz="12" w:space="0" w:color="FFFFFF"/>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DE32DB" w:rsidRPr="005A2F25" w:rsidTr="00736C7E">
        <w:trPr>
          <w:trHeight w:val="454"/>
          <w:jc w:val="center"/>
        </w:trPr>
        <w:tc>
          <w:tcPr>
            <w:tcW w:w="1701" w:type="dxa"/>
            <w:tcBorders>
              <w:top w:val="single" w:sz="12" w:space="0" w:color="FFFFFF"/>
              <w:left w:val="nil"/>
              <w:bottom w:val="single" w:sz="12" w:space="0" w:color="FFFFFF"/>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DE32DB"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DE32DB" w:rsidRPr="00EC7ADB"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DE32DB"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CPD Points</w:t>
            </w:r>
          </w:p>
          <w:p w:rsidR="00DE32DB" w:rsidRPr="00584323"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584323">
              <w:rPr>
                <w:rFonts w:ascii="Arial" w:hAnsi="Arial" w:cs="Arial"/>
                <w:color w:val="6C6361"/>
                <w:sz w:val="20"/>
                <w:szCs w:val="20"/>
              </w:rPr>
              <w:t>(LSHK Allocated Number: 20172769)</w:t>
            </w:r>
          </w:p>
        </w:tc>
      </w:tr>
      <w:tr w:rsidR="00DE32DB" w:rsidRPr="005A2F25" w:rsidTr="00736C7E">
        <w:trPr>
          <w:trHeight w:val="1247"/>
          <w:jc w:val="center"/>
        </w:trPr>
        <w:tc>
          <w:tcPr>
            <w:tcW w:w="1701" w:type="dxa"/>
            <w:tcBorders>
              <w:top w:val="single" w:sz="12" w:space="0" w:color="FFFFFF"/>
              <w:left w:val="nil"/>
              <w:bottom w:val="nil"/>
            </w:tcBorders>
            <w:shd w:val="clear" w:color="auto" w:fill="F0EBE1"/>
            <w:vAlign w:val="center"/>
          </w:tcPr>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DE32DB" w:rsidRPr="00482956" w:rsidRDefault="00DE32DB" w:rsidP="00736C7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DE32DB" w:rsidRPr="00F36D9A"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DE32DB" w:rsidRPr="00F36D9A"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DE32DB" w:rsidRPr="002343EF"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DE32DB" w:rsidRPr="00334CAE" w:rsidRDefault="00DE32DB" w:rsidP="00736C7E">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7B9FF03E" wp14:editId="41D0733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E32DB" w:rsidRPr="00334CAE" w:rsidRDefault="00DE32DB" w:rsidP="00736C7E">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DE32DB" w:rsidRPr="003A2A41"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DE32DB" w:rsidRPr="003A2A41"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DE32DB" w:rsidRPr="003A2A41"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DE32DB" w:rsidRPr="003A2A41"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DE32DB" w:rsidRPr="00156567" w:rsidRDefault="00DE32DB" w:rsidP="00736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74E1903F" wp14:editId="0C67BDB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DE32DB" w:rsidRDefault="00214BC6" w:rsidP="00DE32DB"/>
    <w:sectPr w:rsidR="00214BC6" w:rsidRPr="00DE32DB"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062" w:rsidRDefault="00920062" w:rsidP="00546556">
      <w:r>
        <w:separator/>
      </w:r>
    </w:p>
  </w:endnote>
  <w:endnote w:type="continuationSeparator" w:id="0">
    <w:p w:rsidR="00920062" w:rsidRDefault="0092006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062" w:rsidRDefault="00920062" w:rsidP="00546556">
      <w:r>
        <w:separator/>
      </w:r>
    </w:p>
  </w:footnote>
  <w:footnote w:type="continuationSeparator" w:id="0">
    <w:p w:rsidR="00920062" w:rsidRDefault="0092006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7D9507C3"/>
    <w:multiLevelType w:val="hybridMultilevel"/>
    <w:tmpl w:val="E7621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EA3B94"/>
    <w:multiLevelType w:val="hybridMultilevel"/>
    <w:tmpl w:val="A1BC5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uiuaHBZTBcoZsKfDDCZV33gqQ6DU3FUW9CAp5fpzc0ARcAq3TxVw9RmwpwfWsuFL8samE+RHjU93A6jplxbZlA==" w:salt="ZdEj4FssGMP4tMUhXlMbJ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46280"/>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26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4227"/>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1AA8"/>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60A"/>
    <w:rsid w:val="00903F7E"/>
    <w:rsid w:val="0090488C"/>
    <w:rsid w:val="00904A22"/>
    <w:rsid w:val="0090542C"/>
    <w:rsid w:val="009072EB"/>
    <w:rsid w:val="009076C9"/>
    <w:rsid w:val="00907950"/>
    <w:rsid w:val="00907BAB"/>
    <w:rsid w:val="00910C7F"/>
    <w:rsid w:val="00912DEE"/>
    <w:rsid w:val="00912E95"/>
    <w:rsid w:val="00912EA1"/>
    <w:rsid w:val="00914DA4"/>
    <w:rsid w:val="00920062"/>
    <w:rsid w:val="00920F85"/>
    <w:rsid w:val="00921715"/>
    <w:rsid w:val="00921F18"/>
    <w:rsid w:val="00922C20"/>
    <w:rsid w:val="009239E7"/>
    <w:rsid w:val="00923C54"/>
    <w:rsid w:val="009243A6"/>
    <w:rsid w:val="00924EF3"/>
    <w:rsid w:val="009253BC"/>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3D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2DB"/>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9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7D0C8-F38E-4C06-943C-7837CCCB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512</Words>
  <Characters>2925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CPD Course: Procedural Impropriety as Grounds for Judicial Review</vt:lpstr>
    </vt:vector>
  </TitlesOfParts>
  <Manager>Tyrone Tsang</Manager>
  <Company>The Profectional Company Limited</Company>
  <LinksUpToDate>false</LinksUpToDate>
  <CharactersWithSpaces>3431</CharactersWithSpaces>
  <SharedDoc>false</SharedDoc>
  <HyperlinkBase>http://download.profectional.com/events/EVT000000192.docx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Exercise of Discretion by Public Decision-Makers: Common Pitfalls and How to Avoid Judicial Review</dc:title>
  <dc:subject>CPD Course: Exercise of Discretion by Public Decision-Makers: Common Pitfalls and How to Avoid Judicial Review</dc:subject>
  <dc:creator>The Profectional Company Limited</dc:creator>
  <cp:keywords>Profectional; Kornerstone; CPD; CPT; CLE; CE; RME; Stephen Thomson; Assistant Professor; The Chinese University of Hong Kong</cp:keywords>
  <cp:lastModifiedBy>Tyrone Tsang</cp:lastModifiedBy>
  <cp:revision>44</cp:revision>
  <cp:lastPrinted>2017-10-13T02:50:00Z</cp:lastPrinted>
  <dcterms:created xsi:type="dcterms:W3CDTF">2015-08-21T08:33:00Z</dcterms:created>
  <dcterms:modified xsi:type="dcterms:W3CDTF">2017-10-13T02:51:00Z</dcterms:modified>
</cp:coreProperties>
</file>