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9FD" w:rsidRPr="00C759FD" w:rsidRDefault="00C759FD" w:rsidP="00C759FD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C759FD" w:rsidRPr="00523A64" w:rsidTr="006C591A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C759FD" w:rsidRPr="001A3018" w:rsidRDefault="00C759FD" w:rsidP="006C591A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C759FD" w:rsidRDefault="00C759FD" w:rsidP="006C591A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>
              <w:instrText>HYPERLINK "http://cpd.hk/evt000000198/"</w:instrText>
            </w:r>
            <w:r w:rsidRPr="00CF685C"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Guide for Litigators</w:t>
            </w:r>
          </w:p>
          <w:p w:rsidR="00C759FD" w:rsidRPr="008F151B" w:rsidRDefault="00C759FD" w:rsidP="006C591A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 xml:space="preserve">in the Magistracy - </w:t>
            </w:r>
            <w:r w:rsidRPr="008F151B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Part 2</w:t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:</w:t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br/>
              <w:t>Sentencing</w:t>
            </w:r>
          </w:p>
          <w:p w:rsidR="00C759FD" w:rsidRPr="00C65AFD" w:rsidRDefault="00C759FD" w:rsidP="006C591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:rsidR="00C759FD" w:rsidRPr="00C65AFD" w:rsidRDefault="00C759FD" w:rsidP="006C591A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C759FD" w:rsidRDefault="00C759FD" w:rsidP="006C591A">
            <w:pPr>
              <w:jc w:val="center"/>
              <w:rPr>
                <w:rStyle w:val="Hyperlink"/>
                <w:rFonts w:ascii="Arial" w:hAnsi="Arial" w:cs="Arial"/>
                <w:color w:val="6C6361"/>
                <w:sz w:val="24"/>
                <w:szCs w:val="24"/>
                <w:u w:val="none"/>
              </w:rPr>
            </w:pPr>
            <w:hyperlink r:id="rId8" w:history="1"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Ms</w:t>
              </w:r>
              <w:proofErr w:type="spellEnd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 Cherry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Hui</w:t>
              </w:r>
              <w:proofErr w:type="spellEnd"/>
            </w:hyperlink>
            <w:r>
              <w:rPr>
                <w:rStyle w:val="Hyperlink"/>
                <w:rFonts w:ascii="Arial" w:hAnsi="Arial" w:cs="Arial"/>
                <w:color w:val="6C6361"/>
                <w:sz w:val="24"/>
                <w:szCs w:val="24"/>
                <w:u w:val="none"/>
              </w:rPr>
              <w:t>,</w:t>
            </w:r>
          </w:p>
          <w:p w:rsidR="00C759FD" w:rsidRPr="00F812B8" w:rsidRDefault="00C759FD" w:rsidP="006C591A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Barrister-at-Law</w:t>
            </w:r>
            <w:r w:rsidRPr="00F812B8"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C759FD" w:rsidRDefault="00C759FD" w:rsidP="006C591A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Former Deputy Magistrate</w:t>
            </w:r>
          </w:p>
          <w:p w:rsidR="00C759FD" w:rsidRPr="00D87ECF" w:rsidRDefault="00C759FD" w:rsidP="006C591A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:rsidR="00C759FD" w:rsidRPr="00D50772" w:rsidRDefault="00C759FD" w:rsidP="006C591A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81007E">
              <w:rPr>
                <w:rStyle w:val="Hyperlink"/>
                <w:rFonts w:ascii="Arial" w:hAnsi="Arial" w:cs="Arial"/>
                <w:b/>
                <w:bCs/>
                <w:noProof/>
                <w:color w:val="524B48"/>
                <w:sz w:val="32"/>
                <w:szCs w:val="32"/>
                <w:u w:val="none"/>
              </w:rPr>
              <w:drawing>
                <wp:anchor distT="0" distB="0" distL="114300" distR="114300" simplePos="0" relativeHeight="251660288" behindDoc="0" locked="0" layoutInCell="1" allowOverlap="1" wp14:anchorId="3ABDA4E7" wp14:editId="186BF7FB">
                  <wp:simplePos x="0" y="0"/>
                  <wp:positionH relativeFrom="column">
                    <wp:posOffset>3176270</wp:posOffset>
                  </wp:positionH>
                  <wp:positionV relativeFrom="paragraph">
                    <wp:posOffset>-56515</wp:posOffset>
                  </wp:positionV>
                  <wp:extent cx="539750" cy="546735"/>
                  <wp:effectExtent l="0" t="0" r="0" b="5715"/>
                  <wp:wrapNone/>
                  <wp:docPr id="11" name="Picture 1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0115054B" wp14:editId="1E78CF10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59FD" w:rsidRPr="00E43C66" w:rsidRDefault="00C759FD" w:rsidP="00C759FD">
      <w:pPr>
        <w:spacing w:line="276" w:lineRule="auto"/>
        <w:jc w:val="left"/>
        <w:rPr>
          <w:rFonts w:ascii="Arial" w:hAnsi="Arial" w:cs="Arial"/>
          <w:sz w:val="18"/>
          <w:szCs w:val="18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C759FD" w:rsidRPr="00E43C66" w:rsidTr="006C591A">
        <w:trPr>
          <w:trHeight w:val="3691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C759FD" w:rsidRPr="00E43C66" w:rsidRDefault="00C759FD" w:rsidP="006C591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C6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AC50DD" wp14:editId="3CA6E82B">
                  <wp:extent cx="1080135" cy="1440180"/>
                  <wp:effectExtent l="0" t="0" r="5715" b="7620"/>
                  <wp:docPr id="8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C759FD" w:rsidRPr="00E43C66" w:rsidRDefault="00C759FD" w:rsidP="00C759FD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0"/>
                <w:szCs w:val="20"/>
              </w:rPr>
            </w:pPr>
            <w:proofErr w:type="spellStart"/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Ms</w:t>
            </w:r>
            <w:proofErr w:type="spellEnd"/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 xml:space="preserve"> Cherry HUI was admitted to practice as a Barrister of Hong Kong High Court in 1999.  In her private practice, she was involved in a wide variety of criminal cases.</w:t>
            </w:r>
          </w:p>
          <w:p w:rsidR="00C759FD" w:rsidRPr="00E43C66" w:rsidRDefault="00C759FD" w:rsidP="00C759FD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C759FD" w:rsidRPr="00E43C66" w:rsidRDefault="00C759FD" w:rsidP="00C759FD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 xml:space="preserve">Cherry has taught Company Law, Commercial Law, Land Law, </w:t>
            </w:r>
            <w:proofErr w:type="gramStart"/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Legal</w:t>
            </w:r>
            <w:proofErr w:type="gramEnd"/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 xml:space="preserve"> Issues in Nursing, Criminal Law and Trial Advocacy at different institutions, e.g. the Chinese University of Hong Kong, City University of Hong Kong, Hong Kong Baptist University, </w:t>
            </w:r>
            <w:proofErr w:type="spellStart"/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Lingnan</w:t>
            </w:r>
            <w:proofErr w:type="spellEnd"/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 xml:space="preserve"> University, Hong Kong Institute of Vocational Education and the Hong Kong Management Association, for over ten years.  She has been a speaker on different legal issues at the Hong Kong Trade Development Council and Hong Kong Productivity Council.  She has also participated in different continuing legal education events as a speaker in criminal procedure.</w:t>
            </w:r>
          </w:p>
          <w:p w:rsidR="00C759FD" w:rsidRPr="00E43C66" w:rsidRDefault="00C759FD" w:rsidP="00C759FD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C759FD" w:rsidRPr="00E43C66" w:rsidRDefault="00C759FD" w:rsidP="00C759FD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In 2008, Cherry started an entirely new role when she was appointed as a Deputy Special Magistrate.  This gave her the opportunity to gain valuable experience, and from 2011 she was appointed as a Deputy Magistrate.  Cherry successfully handled thousands of court cases as a Deputy Judicial Officer until she finished that appointment in November 2014 and resumed her practice.  The experience gained will definitely be beneficial to her coming challenges.</w:t>
            </w:r>
          </w:p>
        </w:tc>
      </w:tr>
    </w:tbl>
    <w:p w:rsidR="00C759FD" w:rsidRPr="00E43C66" w:rsidRDefault="00C759FD" w:rsidP="00C759FD">
      <w:pPr>
        <w:spacing w:line="276" w:lineRule="auto"/>
        <w:jc w:val="left"/>
        <w:rPr>
          <w:rFonts w:ascii="Arial" w:hAnsi="Arial" w:cs="Arial"/>
          <w:sz w:val="18"/>
          <w:szCs w:val="18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3828"/>
        <w:gridCol w:w="6945"/>
      </w:tblGrid>
      <w:tr w:rsidR="00C759FD" w:rsidRPr="00E43C66" w:rsidTr="006C591A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C759FD" w:rsidRPr="00E43C66" w:rsidRDefault="00C759FD" w:rsidP="006C591A">
            <w:pPr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Purpose of the meeting - to share her experiences and problems with the aim of improving our technical skills.</w:t>
            </w:r>
          </w:p>
        </w:tc>
      </w:tr>
      <w:tr w:rsidR="00C759FD" w:rsidRPr="00E43C66" w:rsidTr="006C591A">
        <w:trPr>
          <w:trHeight w:val="340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C759FD" w:rsidRPr="00E43C66" w:rsidRDefault="00C759FD" w:rsidP="006C591A">
            <w:pPr>
              <w:rPr>
                <w:rFonts w:ascii="Arial" w:hAnsi="Arial" w:cs="Arial"/>
                <w:b/>
                <w:color w:val="524B48"/>
                <w:sz w:val="20"/>
                <w:szCs w:val="20"/>
              </w:rPr>
            </w:pPr>
            <w:r w:rsidRPr="00E43C66">
              <w:rPr>
                <w:rFonts w:ascii="Arial" w:hAnsi="Arial" w:cs="Arial"/>
                <w:b/>
                <w:color w:val="524B48"/>
                <w:sz w:val="20"/>
                <w:szCs w:val="20"/>
              </w:rPr>
              <w:t>The course covers the following:</w:t>
            </w:r>
            <w:r w:rsidRPr="00E43C66">
              <w:rPr>
                <w:rFonts w:ascii="Arial" w:hAnsi="Arial" w:cs="Arial"/>
                <w:noProof/>
                <w:color w:val="6C6361"/>
                <w:sz w:val="20"/>
                <w:szCs w:val="20"/>
              </w:rPr>
              <w:t xml:space="preserve"> </w:t>
            </w:r>
          </w:p>
        </w:tc>
      </w:tr>
      <w:tr w:rsidR="00C759FD" w:rsidRPr="00E43C66" w:rsidTr="006C591A">
        <w:trPr>
          <w:trHeight w:val="2888"/>
          <w:jc w:val="center"/>
        </w:trPr>
        <w:tc>
          <w:tcPr>
            <w:tcW w:w="3828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C759FD" w:rsidRPr="00E43C66" w:rsidRDefault="00C759FD" w:rsidP="006C591A">
            <w:pPr>
              <w:pStyle w:val="ListParagraph"/>
              <w:numPr>
                <w:ilvl w:val="0"/>
                <w:numId w:val="2"/>
              </w:numPr>
              <w:ind w:right="-108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Purposes of sentencing;</w:t>
            </w:r>
          </w:p>
          <w:p w:rsidR="00C759FD" w:rsidRPr="00E43C66" w:rsidRDefault="00C759FD" w:rsidP="006C591A">
            <w:pPr>
              <w:pStyle w:val="ListParagraph"/>
              <w:numPr>
                <w:ilvl w:val="0"/>
                <w:numId w:val="2"/>
              </w:numPr>
              <w:ind w:right="-108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How is sentencing worked out?</w:t>
            </w:r>
          </w:p>
          <w:p w:rsidR="00C759FD" w:rsidRPr="00E43C66" w:rsidRDefault="00C759FD" w:rsidP="006C591A">
            <w:pPr>
              <w:pStyle w:val="ListParagraph"/>
              <w:numPr>
                <w:ilvl w:val="1"/>
                <w:numId w:val="2"/>
              </w:numPr>
              <w:ind w:right="-108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Starting point;</w:t>
            </w:r>
          </w:p>
          <w:p w:rsidR="00C759FD" w:rsidRPr="00E43C66" w:rsidRDefault="00C759FD" w:rsidP="006C591A">
            <w:pPr>
              <w:pStyle w:val="ListParagraph"/>
              <w:numPr>
                <w:ilvl w:val="1"/>
                <w:numId w:val="2"/>
              </w:numPr>
              <w:ind w:right="-108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Discount;</w:t>
            </w:r>
          </w:p>
          <w:p w:rsidR="00C759FD" w:rsidRPr="00E43C66" w:rsidRDefault="00C759FD" w:rsidP="006C591A">
            <w:pPr>
              <w:pStyle w:val="ListParagraph"/>
              <w:numPr>
                <w:ilvl w:val="1"/>
                <w:numId w:val="2"/>
              </w:numPr>
              <w:ind w:right="-108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Others.</w:t>
            </w:r>
          </w:p>
          <w:p w:rsidR="00C759FD" w:rsidRPr="00E43C66" w:rsidRDefault="00C759FD" w:rsidP="006C591A">
            <w:pPr>
              <w:pStyle w:val="ListParagraph"/>
              <w:numPr>
                <w:ilvl w:val="0"/>
                <w:numId w:val="2"/>
              </w:numPr>
              <w:ind w:right="-108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What factors affect sentencing?</w:t>
            </w:r>
          </w:p>
          <w:p w:rsidR="00C759FD" w:rsidRPr="00E43C66" w:rsidRDefault="00C759FD" w:rsidP="006C591A">
            <w:pPr>
              <w:pStyle w:val="ListParagraph"/>
              <w:numPr>
                <w:ilvl w:val="1"/>
                <w:numId w:val="2"/>
              </w:numPr>
              <w:ind w:right="-108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Multiple offences;</w:t>
            </w:r>
          </w:p>
          <w:p w:rsidR="00C759FD" w:rsidRPr="00E43C66" w:rsidRDefault="00C759FD" w:rsidP="006C591A">
            <w:pPr>
              <w:pStyle w:val="ListParagraph"/>
              <w:numPr>
                <w:ilvl w:val="1"/>
                <w:numId w:val="2"/>
              </w:numPr>
              <w:ind w:right="-108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Multiple offenders;</w:t>
            </w:r>
          </w:p>
          <w:p w:rsidR="00C759FD" w:rsidRPr="00E43C66" w:rsidRDefault="00C759FD" w:rsidP="006C591A">
            <w:pPr>
              <w:pStyle w:val="ListParagraph"/>
              <w:numPr>
                <w:ilvl w:val="1"/>
                <w:numId w:val="2"/>
              </w:numPr>
              <w:ind w:right="-108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Others.</w:t>
            </w:r>
          </w:p>
          <w:p w:rsidR="00C759FD" w:rsidRPr="00E43C66" w:rsidRDefault="00C759FD" w:rsidP="006C591A">
            <w:pPr>
              <w:pStyle w:val="ListParagraph"/>
              <w:numPr>
                <w:ilvl w:val="0"/>
                <w:numId w:val="2"/>
              </w:numPr>
              <w:ind w:right="-108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What are aggravating and mitigating factors?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C759FD" w:rsidRPr="00E43C66" w:rsidRDefault="00C759FD" w:rsidP="006C591A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What types of penalties are there for committing a criminal offence?</w:t>
            </w:r>
          </w:p>
          <w:p w:rsidR="00C759FD" w:rsidRPr="00E43C66" w:rsidRDefault="00C759FD" w:rsidP="006C591A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Imprisonment;</w:t>
            </w:r>
          </w:p>
          <w:p w:rsidR="00C759FD" w:rsidRPr="00E43C66" w:rsidRDefault="00C759FD" w:rsidP="006C591A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Suspended sentence;</w:t>
            </w:r>
          </w:p>
          <w:p w:rsidR="00C759FD" w:rsidRPr="00E43C66" w:rsidRDefault="00C759FD" w:rsidP="006C591A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Rehabilitation Centre; Detention Centre; Training Centre;</w:t>
            </w:r>
          </w:p>
          <w:p w:rsidR="00C759FD" w:rsidRPr="00E43C66" w:rsidRDefault="00C759FD" w:rsidP="006C591A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81007E">
              <w:rPr>
                <w:rFonts w:ascii="Arial" w:hAnsi="Arial" w:cs="Arial"/>
                <w:noProof/>
                <w:color w:val="6C6361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6A258C74" wp14:editId="3D8A2398">
                  <wp:simplePos x="0" y="0"/>
                  <wp:positionH relativeFrom="column">
                    <wp:posOffset>3337560</wp:posOffset>
                  </wp:positionH>
                  <wp:positionV relativeFrom="paragraph">
                    <wp:posOffset>15240</wp:posOffset>
                  </wp:positionV>
                  <wp:extent cx="892175" cy="1018540"/>
                  <wp:effectExtent l="0" t="0" r="317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Drug Addiction Treatment Centre;</w:t>
            </w:r>
          </w:p>
          <w:p w:rsidR="00C759FD" w:rsidRPr="00E43C66" w:rsidRDefault="00C759FD" w:rsidP="006C591A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Probation Orders;</w:t>
            </w:r>
          </w:p>
          <w:p w:rsidR="00C759FD" w:rsidRPr="00E43C66" w:rsidRDefault="00C759FD" w:rsidP="006C591A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Community Service Orders;</w:t>
            </w:r>
          </w:p>
          <w:p w:rsidR="00C759FD" w:rsidRPr="00E43C66" w:rsidRDefault="00C759FD" w:rsidP="006C591A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Mental Hospitals Order;</w:t>
            </w:r>
          </w:p>
          <w:p w:rsidR="00C759FD" w:rsidRPr="00E43C66" w:rsidRDefault="00C759FD" w:rsidP="006C591A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Binding Over Orders;</w:t>
            </w:r>
          </w:p>
          <w:p w:rsidR="00C759FD" w:rsidRPr="00E43C66" w:rsidRDefault="00C759FD" w:rsidP="006C591A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Fine; and</w:t>
            </w:r>
          </w:p>
          <w:p w:rsidR="00C759FD" w:rsidRPr="00E43C66" w:rsidRDefault="00C759FD" w:rsidP="006C591A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Compensation</w:t>
            </w:r>
          </w:p>
        </w:tc>
      </w:tr>
    </w:tbl>
    <w:p w:rsidR="00C759FD" w:rsidRPr="00E43C66" w:rsidRDefault="00C759FD" w:rsidP="00C759FD">
      <w:pPr>
        <w:spacing w:line="276" w:lineRule="auto"/>
        <w:rPr>
          <w:rFonts w:ascii="Arial" w:hAnsi="Arial" w:cs="Arial"/>
          <w:sz w:val="18"/>
          <w:szCs w:val="18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15"/>
        <w:gridCol w:w="1270"/>
      </w:tblGrid>
      <w:tr w:rsidR="00C759FD" w:rsidRPr="00320F79" w:rsidTr="006C591A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C759FD" w:rsidRPr="00320F79" w:rsidRDefault="00C759FD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C759FD" w:rsidRPr="00320F79" w:rsidRDefault="00C759FD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EVT000000198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C759FD" w:rsidRPr="00320F79" w:rsidRDefault="00C759FD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C759FD" w:rsidRPr="00320F79" w:rsidRDefault="00C759FD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C759FD" w:rsidRPr="00320F79" w:rsidTr="006C591A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C759FD" w:rsidRPr="00320F79" w:rsidRDefault="00C759FD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C759FD" w:rsidRPr="00320F79" w:rsidRDefault="00C759FD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30 October 2017 (Monday)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C759FD" w:rsidRPr="00320F79" w:rsidRDefault="00C759FD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C759FD" w:rsidRPr="00320F79" w:rsidRDefault="00C759FD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C759FD" w:rsidRPr="00320F79" w:rsidTr="006C591A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C759FD" w:rsidRPr="00320F79" w:rsidRDefault="00C759FD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C759FD" w:rsidRPr="00320F79" w:rsidRDefault="00C759FD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:30 - 1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7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:rsidR="00C759FD" w:rsidRPr="00320F79" w:rsidRDefault="00C759FD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14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C759FD" w:rsidRPr="00320F79" w:rsidRDefault="00C759FD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C759FD" w:rsidRDefault="00C759FD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LSHK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3.0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CPD Points</w:t>
            </w:r>
          </w:p>
          <w:p w:rsidR="00C759FD" w:rsidRPr="00E43C66" w:rsidRDefault="00C759FD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(</w:t>
            </w:r>
            <w:r w:rsidRPr="004861C9">
              <w:rPr>
                <w:rFonts w:ascii="Arial" w:hAnsi="Arial" w:cs="Arial"/>
                <w:color w:val="6C6361"/>
                <w:sz w:val="20"/>
                <w:szCs w:val="20"/>
              </w:rPr>
              <w:t>LSHK Allocated Number: 20173242</w:t>
            </w:r>
            <w:r w:rsidRPr="00E43C66">
              <w:rPr>
                <w:rFonts w:ascii="Arial" w:hAnsi="Arial" w:cs="Arial"/>
                <w:color w:val="6C6361"/>
                <w:sz w:val="20"/>
                <w:szCs w:val="20"/>
              </w:rPr>
              <w:t>)</w:t>
            </w:r>
          </w:p>
        </w:tc>
      </w:tr>
      <w:tr w:rsidR="00C759FD" w:rsidRPr="00320F79" w:rsidTr="006C591A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C759FD" w:rsidRPr="00320F79" w:rsidRDefault="00C759FD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C759FD" w:rsidRPr="00320F79" w:rsidRDefault="00C759FD" w:rsidP="006C591A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proofErr w:type="spellStart"/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</w:t>
            </w:r>
            <w:proofErr w:type="spellEnd"/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 xml:space="preserve"> Institute</w:t>
            </w:r>
          </w:p>
          <w:p w:rsidR="00C759FD" w:rsidRPr="00320F79" w:rsidRDefault="00C759FD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15/F, Hip </w:t>
            </w:r>
            <w:proofErr w:type="spellStart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Shing</w:t>
            </w:r>
            <w:proofErr w:type="spellEnd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Hong Centre</w:t>
            </w:r>
          </w:p>
          <w:p w:rsidR="00C759FD" w:rsidRPr="00320F79" w:rsidRDefault="00C759FD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55 Des </w:t>
            </w:r>
            <w:proofErr w:type="spellStart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Voeux</w:t>
            </w:r>
            <w:proofErr w:type="spellEnd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Road Central</w:t>
            </w:r>
          </w:p>
          <w:p w:rsidR="00C759FD" w:rsidRPr="00320F79" w:rsidRDefault="00C759FD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C759FD" w:rsidRDefault="00C759FD" w:rsidP="006C591A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C759FD" w:rsidRDefault="00C759FD" w:rsidP="006C591A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C759FD" w:rsidRPr="00320F79" w:rsidRDefault="00C759FD" w:rsidP="006C591A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778455CF" wp14:editId="2ADCCD01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9FD" w:rsidRPr="00E2201B" w:rsidRDefault="00C759FD" w:rsidP="006C591A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C759FD" w:rsidRPr="00E14341" w:rsidRDefault="00C759FD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C759FD" w:rsidRPr="00E14341" w:rsidRDefault="00C759FD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15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C759FD" w:rsidRPr="00E14341" w:rsidRDefault="00C759FD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E143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C759FD" w:rsidRPr="00E14341" w:rsidRDefault="00C759FD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70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59FD" w:rsidRPr="00156567" w:rsidRDefault="00C759FD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73B15AEE" wp14:editId="75FA45CF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C759FD" w:rsidRDefault="00214BC6" w:rsidP="00C759FD"/>
    <w:sectPr w:rsidR="00214BC6" w:rsidRPr="00C759FD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74BE" w:rsidRDefault="006774BE" w:rsidP="00546556">
      <w:r>
        <w:separator/>
      </w:r>
    </w:p>
  </w:endnote>
  <w:endnote w:type="continuationSeparator" w:id="0">
    <w:p w:rsidR="006774BE" w:rsidRDefault="006774BE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74BE" w:rsidRDefault="006774BE" w:rsidP="00546556">
      <w:r>
        <w:separator/>
      </w:r>
    </w:p>
  </w:footnote>
  <w:footnote w:type="continuationSeparator" w:id="0">
    <w:p w:rsidR="006774BE" w:rsidRDefault="006774BE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SiBNm9WRo0IEYSf2UUX0LoK4DVO/fMOLKdRe3gonVaBTQrqp2OyP7M+4UsYm1ShSY5kwRGwSXucwuj6fs9iLpA==" w:salt="i2mC857pXb9/h8igQ+K+QQ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C7C96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0F7F26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2AB4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0401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3F7AB3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4F2B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26D5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2C0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4B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A92"/>
    <w:rsid w:val="00741F55"/>
    <w:rsid w:val="00742469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5BBC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444F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2B1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E7368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59FD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2445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198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C0712-F5CC-4E88-97DD-0478D67C9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Guide for Litigators in the Magistracy - Part 2: Sentencing</vt:lpstr>
    </vt:vector>
  </TitlesOfParts>
  <Manager>Tyrone Tsang</Manager>
  <Company>The Profectional Company Limited</Company>
  <LinksUpToDate>false</LinksUpToDate>
  <CharactersWithSpaces>2602</CharactersWithSpaces>
  <SharedDoc>false</SharedDoc>
  <HyperlinkBase>http://download.profectional.com/events/EVT000000198.docx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Guide for Litigators in the Magistracy - Part 2: Sentencing</dc:title>
  <dc:subject>CPD Course: Guide for Litigators in the Magistracy - Part 2: Sentencing</dc:subject>
  <dc:creator>The Profectional Company Limited</dc:creator>
  <cp:keywords>Profectional; Kornerstone; CPD; CPT; CLE; CE; RME; Cherry Hui; Barrister-at-Law; Former Deputy Magistrate</cp:keywords>
  <cp:lastModifiedBy>Tyrone Tsang</cp:lastModifiedBy>
  <cp:revision>12</cp:revision>
  <cp:lastPrinted>2016-10-24T14:04:00Z</cp:lastPrinted>
  <dcterms:created xsi:type="dcterms:W3CDTF">2015-05-28T16:29:00Z</dcterms:created>
  <dcterms:modified xsi:type="dcterms:W3CDTF">2017-10-28T14:57:00Z</dcterms:modified>
</cp:coreProperties>
</file>