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93B" w:rsidRPr="00CC693B" w:rsidRDefault="00CC693B" w:rsidP="00CC693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C693B" w:rsidRPr="00523A64" w:rsidTr="00680D62">
        <w:trPr>
          <w:trHeight w:val="3119"/>
          <w:jc w:val="center"/>
        </w:trPr>
        <w:tc>
          <w:tcPr>
            <w:tcW w:w="4820" w:type="dxa"/>
            <w:shd w:val="clear" w:color="auto" w:fill="FFFFFF"/>
            <w:vAlign w:val="center"/>
          </w:tcPr>
          <w:p w:rsidR="00CC693B" w:rsidRPr="001A3018" w:rsidRDefault="00CC693B" w:rsidP="00680D62">
            <w:pPr>
              <w:jc w:val="center"/>
              <w:rPr>
                <w:rFonts w:ascii="Arial" w:hAnsi="Arial" w:cs="Arial"/>
                <w:b/>
                <w:bCs/>
                <w:color w:val="524B48"/>
                <w:sz w:val="4"/>
                <w:szCs w:val="4"/>
              </w:rPr>
            </w:pPr>
          </w:p>
          <w:p w:rsidR="00CC693B" w:rsidRDefault="00CC693B" w:rsidP="00680D62">
            <w:pPr>
              <w:jc w:val="center"/>
              <w:rPr>
                <w:rStyle w:val="Hyperlink"/>
                <w:rFonts w:ascii="Arial" w:hAnsi="Arial" w:cs="Arial"/>
                <w:b/>
                <w:bCs/>
                <w:color w:val="524B48"/>
                <w:sz w:val="32"/>
                <w:szCs w:val="32"/>
                <w:u w:val="none"/>
              </w:rPr>
            </w:pPr>
            <w:r w:rsidRPr="00CF685C">
              <w:fldChar w:fldCharType="begin"/>
            </w:r>
            <w:r>
              <w:instrText>HYPERLINK "http://cpd.hk/evt000000202/"</w:instrText>
            </w:r>
            <w:r w:rsidRPr="00CF685C">
              <w:fldChar w:fldCharType="separate"/>
            </w:r>
            <w:r>
              <w:rPr>
                <w:rStyle w:val="Hyperlink"/>
                <w:rFonts w:ascii="Arial" w:hAnsi="Arial" w:cs="Arial"/>
                <w:b/>
                <w:bCs/>
                <w:color w:val="524B48"/>
                <w:sz w:val="32"/>
                <w:szCs w:val="32"/>
                <w:u w:val="none"/>
              </w:rPr>
              <w:t>Reducing</w:t>
            </w:r>
          </w:p>
          <w:p w:rsidR="00CC693B" w:rsidRDefault="00CC693B" w:rsidP="00680D6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Data Privacy Risks</w:t>
            </w:r>
          </w:p>
          <w:p w:rsidR="00CC693B" w:rsidRPr="00CF685C" w:rsidRDefault="00CC693B" w:rsidP="00680D62">
            <w:pPr>
              <w:jc w:val="center"/>
              <w:rPr>
                <w:rStyle w:val="Hyperlink"/>
                <w:rFonts w:ascii="Arial" w:hAnsi="Arial" w:cs="Arial"/>
                <w:b/>
                <w:bCs/>
                <w:color w:val="524B48"/>
                <w:sz w:val="32"/>
                <w:szCs w:val="32"/>
                <w:u w:val="none"/>
              </w:rPr>
            </w:pPr>
            <w:r w:rsidRPr="00810960">
              <w:rPr>
                <w:rStyle w:val="Hyperlink"/>
                <w:rFonts w:ascii="Arial" w:hAnsi="Arial" w:cs="Arial"/>
                <w:b/>
                <w:bCs/>
                <w:color w:val="524B48"/>
                <w:sz w:val="32"/>
                <w:szCs w:val="32"/>
                <w:u w:val="none"/>
              </w:rPr>
              <w:t>for Law Firms</w:t>
            </w:r>
          </w:p>
          <w:p w:rsidR="00CC693B" w:rsidRPr="00C65AFD" w:rsidRDefault="00CC693B" w:rsidP="00680D6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C693B" w:rsidRPr="00C65AFD" w:rsidRDefault="00CC693B" w:rsidP="00680D62">
            <w:pPr>
              <w:jc w:val="center"/>
              <w:rPr>
                <w:rFonts w:ascii="Arial" w:hAnsi="Arial" w:cs="Arial"/>
                <w:i/>
                <w:color w:val="6C6361"/>
                <w:sz w:val="24"/>
                <w:szCs w:val="24"/>
              </w:rPr>
            </w:pPr>
            <w:r w:rsidRPr="00C65AFD">
              <w:rPr>
                <w:rFonts w:ascii="Arial" w:hAnsi="Arial" w:cs="Arial"/>
                <w:i/>
                <w:color w:val="6C6361"/>
                <w:sz w:val="24"/>
                <w:szCs w:val="24"/>
              </w:rPr>
              <w:t>by</w:t>
            </w:r>
          </w:p>
          <w:p w:rsidR="00CC693B" w:rsidRPr="00A35F54" w:rsidRDefault="00CC693B" w:rsidP="00680D62">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Dmitri Hubbard</w:t>
              </w:r>
            </w:hyperlink>
            <w:r w:rsidRPr="00A35F54">
              <w:rPr>
                <w:rFonts w:ascii="Arial" w:hAnsi="Arial" w:cs="Arial"/>
                <w:color w:val="6C6361"/>
                <w:sz w:val="24"/>
                <w:szCs w:val="24"/>
              </w:rPr>
              <w:t>,</w:t>
            </w:r>
          </w:p>
          <w:p w:rsidR="00CC693B" w:rsidRDefault="00CC693B" w:rsidP="00680D62">
            <w:pPr>
              <w:jc w:val="center"/>
              <w:rPr>
                <w:rFonts w:ascii="Arial" w:hAnsi="Arial" w:cs="Arial"/>
                <w:color w:val="6C6361"/>
                <w:sz w:val="24"/>
                <w:szCs w:val="24"/>
              </w:rPr>
            </w:pPr>
            <w:r>
              <w:rPr>
                <w:rFonts w:ascii="Arial" w:hAnsi="Arial" w:cs="Arial"/>
                <w:color w:val="6C6361"/>
                <w:sz w:val="24"/>
                <w:szCs w:val="24"/>
              </w:rPr>
              <w:t>General Counsel,</w:t>
            </w:r>
          </w:p>
          <w:p w:rsidR="00CC693B" w:rsidRPr="00D87ECF" w:rsidRDefault="00CC693B" w:rsidP="00680D62">
            <w:pPr>
              <w:jc w:val="center"/>
              <w:rPr>
                <w:rFonts w:ascii="Arial" w:hAnsi="Arial" w:cs="Arial"/>
                <w:color w:val="6C6361"/>
                <w:sz w:val="8"/>
                <w:szCs w:val="8"/>
              </w:rPr>
            </w:pPr>
            <w:r w:rsidRPr="00810960">
              <w:rPr>
                <w:rFonts w:ascii="Arial" w:hAnsi="Arial" w:cs="Arial"/>
                <w:color w:val="6C6361"/>
                <w:sz w:val="24"/>
                <w:szCs w:val="24"/>
              </w:rPr>
              <w:t>Blue Dragon Asia</w:t>
            </w:r>
          </w:p>
        </w:tc>
        <w:tc>
          <w:tcPr>
            <w:tcW w:w="5954" w:type="dxa"/>
            <w:shd w:val="clear" w:color="auto" w:fill="FFFFFF"/>
            <w:vAlign w:val="center"/>
          </w:tcPr>
          <w:p w:rsidR="00CC693B" w:rsidRPr="00D50772" w:rsidRDefault="00CC693B" w:rsidP="00680D62">
            <w:pPr>
              <w:spacing w:line="276" w:lineRule="auto"/>
              <w:jc w:val="center"/>
              <w:rPr>
                <w:rFonts w:ascii="Arial" w:eastAsia="Times New Roman" w:hAnsi="Arial" w:cs="Arial"/>
                <w:noProof/>
                <w:sz w:val="20"/>
                <w:szCs w:val="20"/>
              </w:rPr>
            </w:pPr>
            <w:r w:rsidRPr="00E96108">
              <w:rPr>
                <w:rStyle w:val="Hyperlink"/>
                <w:rFonts w:ascii="Arial" w:hAnsi="Arial" w:cs="Arial"/>
                <w:b/>
                <w:bCs/>
                <w:noProof/>
                <w:color w:val="524B48"/>
                <w:sz w:val="32"/>
                <w:szCs w:val="32"/>
                <w:u w:val="none"/>
              </w:rPr>
              <w:drawing>
                <wp:anchor distT="0" distB="0" distL="114300" distR="114300" simplePos="0" relativeHeight="251660288" behindDoc="0" locked="0" layoutInCell="1" allowOverlap="1" wp14:anchorId="27EE53F8" wp14:editId="7D1817F9">
                  <wp:simplePos x="0" y="0"/>
                  <wp:positionH relativeFrom="column">
                    <wp:posOffset>3176270</wp:posOffset>
                  </wp:positionH>
                  <wp:positionV relativeFrom="paragraph">
                    <wp:posOffset>-55880</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05CA538" wp14:editId="1D3B0F4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C693B" w:rsidRPr="00EB3A57" w:rsidRDefault="00CC693B" w:rsidP="00CC693B">
      <w:pPr>
        <w:spacing w:line="276" w:lineRule="auto"/>
        <w:jc w:val="left"/>
        <w:rPr>
          <w:rFonts w:ascii="Arial" w:hAnsi="Arial" w:cs="Arial"/>
          <w:sz w:val="12"/>
          <w:szCs w:val="16"/>
        </w:rPr>
      </w:pPr>
    </w:p>
    <w:tbl>
      <w:tblPr>
        <w:tblW w:w="10773" w:type="dxa"/>
        <w:jc w:val="center"/>
        <w:tblLook w:val="04A0" w:firstRow="1" w:lastRow="0" w:firstColumn="1" w:lastColumn="0" w:noHBand="0" w:noVBand="1"/>
      </w:tblPr>
      <w:tblGrid>
        <w:gridCol w:w="1985"/>
        <w:gridCol w:w="8788"/>
      </w:tblGrid>
      <w:tr w:rsidR="00CC693B" w:rsidRPr="00754856" w:rsidTr="00680D62">
        <w:trPr>
          <w:trHeight w:val="3900"/>
          <w:jc w:val="center"/>
        </w:trPr>
        <w:tc>
          <w:tcPr>
            <w:tcW w:w="1985" w:type="dxa"/>
            <w:shd w:val="clear" w:color="auto" w:fill="FFFFFF"/>
            <w:vAlign w:val="center"/>
          </w:tcPr>
          <w:p w:rsidR="00CC693B" w:rsidRPr="00754856" w:rsidRDefault="00CC693B" w:rsidP="00680D62">
            <w:pPr>
              <w:spacing w:line="276" w:lineRule="auto"/>
              <w:jc w:val="center"/>
              <w:rPr>
                <w:rFonts w:ascii="Arial" w:hAnsi="Arial" w:cs="Arial"/>
                <w:sz w:val="18"/>
                <w:szCs w:val="18"/>
              </w:rPr>
            </w:pPr>
            <w:r w:rsidRPr="00754856">
              <w:rPr>
                <w:rFonts w:ascii="Arial" w:hAnsi="Arial" w:cs="Arial"/>
                <w:noProof/>
                <w:sz w:val="18"/>
                <w:szCs w:val="18"/>
              </w:rPr>
              <w:drawing>
                <wp:inline distT="0" distB="0" distL="0" distR="0" wp14:anchorId="7DC566D6" wp14:editId="1907165B">
                  <wp:extent cx="1079997" cy="1439997"/>
                  <wp:effectExtent l="0" t="0" r="6350" b="8255"/>
                  <wp:docPr id="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3">
                            <a:extLst>
                              <a:ext uri="{28A0092B-C50C-407E-A947-70E740481C1C}">
                                <a14:useLocalDpi xmlns:a14="http://schemas.microsoft.com/office/drawing/2010/main" val="0"/>
                              </a:ext>
                            </a:extLst>
                          </a:blip>
                          <a:stretch>
                            <a:fillRect/>
                          </a:stretch>
                        </pic:blipFill>
                        <pic:spPr>
                          <a:xfrm>
                            <a:off x="0" y="0"/>
                            <a:ext cx="1079997" cy="1439997"/>
                          </a:xfrm>
                          <a:prstGeom prst="rect">
                            <a:avLst/>
                          </a:prstGeom>
                        </pic:spPr>
                      </pic:pic>
                    </a:graphicData>
                  </a:graphic>
                </wp:inline>
              </w:drawing>
            </w:r>
          </w:p>
        </w:tc>
        <w:tc>
          <w:tcPr>
            <w:tcW w:w="8788" w:type="dxa"/>
            <w:shd w:val="clear" w:color="auto" w:fill="FFFFFF"/>
            <w:vAlign w:val="center"/>
          </w:tcPr>
          <w:p w:rsidR="00CC693B" w:rsidRPr="00754856" w:rsidRDefault="00CC693B" w:rsidP="00CC693B">
            <w:pPr>
              <w:pStyle w:val="NormalWeb"/>
              <w:contextualSpacing/>
              <w:jc w:val="both"/>
              <w:rPr>
                <w:rFonts w:ascii="Arial" w:hAnsi="Arial" w:cs="Arial"/>
                <w:color w:val="6C6361"/>
                <w:sz w:val="18"/>
                <w:szCs w:val="18"/>
              </w:rPr>
            </w:pPr>
            <w:r w:rsidRPr="00754856">
              <w:rPr>
                <w:rFonts w:ascii="Arial" w:hAnsi="Arial" w:cs="Arial"/>
                <w:color w:val="6C6361"/>
                <w:sz w:val="18"/>
                <w:szCs w:val="18"/>
              </w:rPr>
              <w:t>Based in Hong Kong since 2002, Dmitri consults on a wide range of contentious legal problems which arise at the intersection of law and technology.  Dmitri uses his experience in managing over 200 investigations since 2009 in Asia to preach about best practice and responding to crises.</w:t>
            </w:r>
          </w:p>
          <w:p w:rsidR="00CC693B" w:rsidRPr="00EB3A57" w:rsidRDefault="00CC693B" w:rsidP="00CC693B">
            <w:pPr>
              <w:pStyle w:val="NormalWeb"/>
              <w:contextualSpacing/>
              <w:jc w:val="both"/>
              <w:rPr>
                <w:rFonts w:ascii="Arial" w:hAnsi="Arial" w:cs="Arial"/>
                <w:color w:val="6C6361"/>
                <w:sz w:val="4"/>
                <w:szCs w:val="8"/>
              </w:rPr>
            </w:pPr>
          </w:p>
          <w:p w:rsidR="00CC693B" w:rsidRPr="00754856" w:rsidRDefault="00CC693B" w:rsidP="00CC693B">
            <w:pPr>
              <w:pStyle w:val="NormalWeb"/>
              <w:contextualSpacing/>
              <w:jc w:val="both"/>
              <w:rPr>
                <w:rFonts w:ascii="Arial" w:hAnsi="Arial" w:cs="Arial"/>
                <w:color w:val="6C6361"/>
                <w:sz w:val="18"/>
                <w:szCs w:val="18"/>
              </w:rPr>
            </w:pPr>
            <w:r w:rsidRPr="00754856">
              <w:rPr>
                <w:rFonts w:ascii="Arial" w:hAnsi="Arial" w:cs="Arial"/>
                <w:color w:val="6C6361"/>
                <w:sz w:val="18"/>
                <w:szCs w:val="18"/>
              </w:rPr>
              <w:t>His focus is on internal and regulatory investigations, international and Asian litigation, cyber security and data privacy compliance scenarios across Asia-Pacific.  He works closely with large law firms and General Counsel for matters which have a Hong Kong or Asian dimension.  Dmitri specializes in advising clients on regulatory and litigation matters involving data privacy concerns, forensic investigative needs, cyber breach, electronic discovery, data mapping, evidence management, document review and analysis.</w:t>
            </w:r>
          </w:p>
          <w:p w:rsidR="00CC693B" w:rsidRPr="00EB3A57" w:rsidRDefault="00CC693B" w:rsidP="00CC693B">
            <w:pPr>
              <w:pStyle w:val="NormalWeb"/>
              <w:contextualSpacing/>
              <w:jc w:val="both"/>
              <w:rPr>
                <w:rFonts w:ascii="Arial" w:hAnsi="Arial" w:cs="Arial"/>
                <w:color w:val="6C6361"/>
                <w:sz w:val="4"/>
                <w:szCs w:val="8"/>
              </w:rPr>
            </w:pPr>
          </w:p>
          <w:p w:rsidR="00CC693B" w:rsidRPr="00754856" w:rsidRDefault="00CC693B" w:rsidP="00CC693B">
            <w:pPr>
              <w:pStyle w:val="NormalWeb"/>
              <w:contextualSpacing/>
              <w:jc w:val="both"/>
              <w:rPr>
                <w:rFonts w:ascii="Arial" w:hAnsi="Arial" w:cs="Arial"/>
                <w:color w:val="6C6361"/>
                <w:sz w:val="18"/>
                <w:szCs w:val="18"/>
              </w:rPr>
            </w:pPr>
            <w:r w:rsidRPr="00754856">
              <w:rPr>
                <w:rFonts w:ascii="Arial" w:hAnsi="Arial" w:cs="Arial"/>
                <w:color w:val="6C6361"/>
                <w:sz w:val="18"/>
                <w:szCs w:val="18"/>
              </w:rPr>
              <w:t xml:space="preserve">Since in Asia, Dmitri has held Regional Management Roles at LexisNexis, </w:t>
            </w:r>
            <w:proofErr w:type="spellStart"/>
            <w:r w:rsidRPr="00754856">
              <w:rPr>
                <w:rFonts w:ascii="Arial" w:hAnsi="Arial" w:cs="Arial"/>
                <w:color w:val="6C6361"/>
                <w:sz w:val="18"/>
                <w:szCs w:val="18"/>
              </w:rPr>
              <w:t>Epiq</w:t>
            </w:r>
            <w:proofErr w:type="spellEnd"/>
            <w:r w:rsidRPr="00754856">
              <w:rPr>
                <w:rFonts w:ascii="Arial" w:hAnsi="Arial" w:cs="Arial"/>
                <w:color w:val="6C6361"/>
                <w:sz w:val="18"/>
                <w:szCs w:val="18"/>
              </w:rPr>
              <w:t xml:space="preserve"> Systems, Control Risks Group, Xerox, </w:t>
            </w:r>
            <w:proofErr w:type="spellStart"/>
            <w:r w:rsidRPr="00754856">
              <w:rPr>
                <w:rFonts w:ascii="Arial" w:hAnsi="Arial" w:cs="Arial"/>
                <w:color w:val="6C6361"/>
                <w:sz w:val="18"/>
                <w:szCs w:val="18"/>
              </w:rPr>
              <w:t>Conduent</w:t>
            </w:r>
            <w:proofErr w:type="spellEnd"/>
            <w:r w:rsidRPr="00754856">
              <w:rPr>
                <w:rFonts w:ascii="Arial" w:hAnsi="Arial" w:cs="Arial"/>
                <w:color w:val="6C6361"/>
                <w:sz w:val="18"/>
                <w:szCs w:val="18"/>
              </w:rPr>
              <w:t>, and Blue Dragon Asia.  He has been an adjunct lecturer / professional consultant at the three HK University Law schools (HK University, Chinese University &amp; City University).</w:t>
            </w:r>
          </w:p>
          <w:p w:rsidR="00CC693B" w:rsidRPr="00EB3A57" w:rsidRDefault="00CC693B" w:rsidP="00CC693B">
            <w:pPr>
              <w:pStyle w:val="NormalWeb"/>
              <w:contextualSpacing/>
              <w:jc w:val="both"/>
              <w:rPr>
                <w:rFonts w:ascii="Arial" w:hAnsi="Arial" w:cs="Arial"/>
                <w:color w:val="6C6361"/>
                <w:sz w:val="4"/>
                <w:szCs w:val="8"/>
              </w:rPr>
            </w:pPr>
          </w:p>
          <w:p w:rsidR="00CC693B" w:rsidRPr="00754856" w:rsidRDefault="00CC693B" w:rsidP="00CC693B">
            <w:pPr>
              <w:pStyle w:val="NormalWeb"/>
              <w:contextualSpacing/>
              <w:jc w:val="both"/>
              <w:rPr>
                <w:rFonts w:ascii="Arial" w:hAnsi="Arial" w:cs="Arial"/>
                <w:color w:val="6C6361"/>
                <w:sz w:val="18"/>
                <w:szCs w:val="18"/>
              </w:rPr>
            </w:pPr>
            <w:r w:rsidRPr="00754856">
              <w:rPr>
                <w:rFonts w:ascii="Arial" w:hAnsi="Arial" w:cs="Arial"/>
                <w:color w:val="6C6361"/>
                <w:sz w:val="18"/>
                <w:szCs w:val="18"/>
              </w:rPr>
              <w:t xml:space="preserve">Dmitri is a qualified Barrister and Solicitor of the High Court of New Zealand.  Dmitri holds a Bachelor of Laws, a Master of Laws (focusing on international commercial law) and a Bachelor of Arts in English Literature and Economics from Victoria University of Wellington.  He holds a Diploma in International Trade and Shipping Law from London Guildhall University, and has done the HK SFC </w:t>
            </w:r>
            <w:proofErr w:type="spellStart"/>
            <w:r w:rsidRPr="00754856">
              <w:rPr>
                <w:rFonts w:ascii="Arial" w:hAnsi="Arial" w:cs="Arial"/>
                <w:color w:val="6C6361"/>
                <w:sz w:val="18"/>
                <w:szCs w:val="18"/>
              </w:rPr>
              <w:t>licencing</w:t>
            </w:r>
            <w:proofErr w:type="spellEnd"/>
            <w:r w:rsidRPr="00754856">
              <w:rPr>
                <w:rFonts w:ascii="Arial" w:hAnsi="Arial" w:cs="Arial"/>
                <w:color w:val="6C6361"/>
                <w:sz w:val="18"/>
                <w:szCs w:val="18"/>
              </w:rPr>
              <w:t xml:space="preserve"> exams for securities dealing, derivatives dealing, corporate finance and financial markets.  He frequently presents at industry seminars, professional associations and regional conferences across Asia.  He has written several books and articles on HK and Asian data privacy, cyber security, </w:t>
            </w:r>
            <w:proofErr w:type="spellStart"/>
            <w:r w:rsidRPr="00754856">
              <w:rPr>
                <w:rFonts w:ascii="Arial" w:hAnsi="Arial" w:cs="Arial"/>
                <w:color w:val="6C6361"/>
                <w:sz w:val="18"/>
                <w:szCs w:val="18"/>
              </w:rPr>
              <w:t>ediscovery</w:t>
            </w:r>
            <w:proofErr w:type="spellEnd"/>
            <w:r w:rsidRPr="00754856">
              <w:rPr>
                <w:rFonts w:ascii="Arial" w:hAnsi="Arial" w:cs="Arial"/>
                <w:color w:val="6C6361"/>
                <w:sz w:val="18"/>
                <w:szCs w:val="18"/>
              </w:rPr>
              <w:t>, law of evidence, employment and contract law.</w:t>
            </w:r>
          </w:p>
        </w:tc>
      </w:tr>
    </w:tbl>
    <w:p w:rsidR="00CC693B" w:rsidRPr="00EB3A57" w:rsidRDefault="00CC693B" w:rsidP="00CC693B">
      <w:pPr>
        <w:spacing w:line="276" w:lineRule="auto"/>
        <w:jc w:val="left"/>
        <w:rPr>
          <w:rFonts w:ascii="Arial" w:hAnsi="Arial" w:cs="Arial"/>
          <w:sz w:val="12"/>
          <w:szCs w:val="18"/>
        </w:rPr>
      </w:pPr>
    </w:p>
    <w:tbl>
      <w:tblPr>
        <w:tblW w:w="10773" w:type="dxa"/>
        <w:jc w:val="center"/>
        <w:tblBorders>
          <w:bottom w:val="single" w:sz="12" w:space="0" w:color="FFFFFF"/>
        </w:tblBorders>
        <w:tblLook w:val="04A0" w:firstRow="1" w:lastRow="0" w:firstColumn="1" w:lastColumn="0" w:noHBand="0" w:noVBand="1"/>
      </w:tblPr>
      <w:tblGrid>
        <w:gridCol w:w="5387"/>
        <w:gridCol w:w="5386"/>
      </w:tblGrid>
      <w:tr w:rsidR="00CC693B" w:rsidRPr="00754856" w:rsidTr="00680D62">
        <w:trPr>
          <w:trHeight w:val="284"/>
          <w:jc w:val="center"/>
        </w:trPr>
        <w:tc>
          <w:tcPr>
            <w:tcW w:w="10773" w:type="dxa"/>
            <w:gridSpan w:val="2"/>
            <w:tcBorders>
              <w:top w:val="nil"/>
              <w:bottom w:val="nil"/>
            </w:tcBorders>
            <w:shd w:val="clear" w:color="auto" w:fill="F0EBE1"/>
            <w:vAlign w:val="center"/>
          </w:tcPr>
          <w:p w:rsidR="00CC693B" w:rsidRPr="00754856" w:rsidRDefault="00CC693B" w:rsidP="00680D62">
            <w:pPr>
              <w:rPr>
                <w:rFonts w:ascii="Arial" w:hAnsi="Arial" w:cs="Arial"/>
                <w:b/>
                <w:color w:val="524B48"/>
                <w:sz w:val="18"/>
                <w:szCs w:val="18"/>
              </w:rPr>
            </w:pPr>
            <w:r w:rsidRPr="00754856">
              <w:rPr>
                <w:rFonts w:ascii="Arial" w:hAnsi="Arial" w:cs="Arial"/>
                <w:b/>
                <w:color w:val="524B48"/>
                <w:sz w:val="18"/>
                <w:szCs w:val="18"/>
              </w:rPr>
              <w:t>This course will cover the followings:</w:t>
            </w:r>
          </w:p>
        </w:tc>
      </w:tr>
      <w:tr w:rsidR="00CC693B" w:rsidRPr="00754856" w:rsidTr="00680D62">
        <w:trPr>
          <w:trHeight w:val="3572"/>
          <w:jc w:val="center"/>
        </w:trPr>
        <w:tc>
          <w:tcPr>
            <w:tcW w:w="5387" w:type="dxa"/>
            <w:tcBorders>
              <w:top w:val="nil"/>
              <w:bottom w:val="nil"/>
              <w:right w:val="nil"/>
            </w:tcBorders>
            <w:shd w:val="clear" w:color="auto" w:fill="FFFFFF"/>
            <w:vAlign w:val="center"/>
          </w:tcPr>
          <w:p w:rsidR="00CC693B" w:rsidRPr="00810960" w:rsidRDefault="00CC693B" w:rsidP="00680D62">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Data privacy and the law firm</w:t>
            </w:r>
          </w:p>
          <w:p w:rsidR="00CC693B" w:rsidRPr="00810960" w:rsidRDefault="00CC693B" w:rsidP="00680D62">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Law firms data collection</w:t>
            </w:r>
          </w:p>
          <w:p w:rsidR="00CC693B" w:rsidRPr="00810960" w:rsidRDefault="00CC693B" w:rsidP="00680D62">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Investigations</w:t>
            </w:r>
          </w:p>
          <w:p w:rsidR="00CC693B" w:rsidRPr="00810960" w:rsidRDefault="00CC693B" w:rsidP="00680D62">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Regulatory</w:t>
            </w:r>
          </w:p>
          <w:p w:rsidR="00CC693B" w:rsidRPr="00810960" w:rsidRDefault="00CC693B" w:rsidP="00680D62">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M&amp;A etc</w:t>
            </w:r>
            <w:r w:rsidRPr="00754856">
              <w:rPr>
                <w:rFonts w:ascii="Arial" w:hAnsi="Arial" w:cs="Arial"/>
                <w:color w:val="6C6361"/>
                <w:sz w:val="18"/>
                <w:szCs w:val="18"/>
              </w:rPr>
              <w:t>.</w:t>
            </w:r>
          </w:p>
          <w:p w:rsidR="00CC693B" w:rsidRPr="00810960" w:rsidRDefault="00CC693B" w:rsidP="00680D62">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Law firms data management</w:t>
            </w:r>
          </w:p>
          <w:p w:rsidR="00CC693B" w:rsidRPr="00810960" w:rsidRDefault="00CC693B" w:rsidP="00680D62">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Law firms security</w:t>
            </w:r>
          </w:p>
          <w:p w:rsidR="00CC693B" w:rsidRPr="00810960" w:rsidRDefault="00CC693B" w:rsidP="00680D62">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The H</w:t>
            </w:r>
            <w:r>
              <w:rPr>
                <w:rFonts w:ascii="Arial" w:hAnsi="Arial" w:cs="Arial"/>
                <w:color w:val="6C6361"/>
                <w:sz w:val="18"/>
                <w:szCs w:val="18"/>
              </w:rPr>
              <w:t xml:space="preserve">ong </w:t>
            </w:r>
            <w:r w:rsidRPr="00810960">
              <w:rPr>
                <w:rFonts w:ascii="Arial" w:hAnsi="Arial" w:cs="Arial"/>
                <w:color w:val="6C6361"/>
                <w:sz w:val="18"/>
                <w:szCs w:val="18"/>
              </w:rPr>
              <w:t>K</w:t>
            </w:r>
            <w:r>
              <w:rPr>
                <w:rFonts w:ascii="Arial" w:hAnsi="Arial" w:cs="Arial"/>
                <w:color w:val="6C6361"/>
                <w:sz w:val="18"/>
                <w:szCs w:val="18"/>
              </w:rPr>
              <w:t>ong</w:t>
            </w:r>
            <w:r w:rsidRPr="00810960">
              <w:rPr>
                <w:rFonts w:ascii="Arial" w:hAnsi="Arial" w:cs="Arial"/>
                <w:color w:val="6C6361"/>
                <w:sz w:val="18"/>
                <w:szCs w:val="18"/>
              </w:rPr>
              <w:t xml:space="preserve"> Data Privacy Regime</w:t>
            </w:r>
          </w:p>
          <w:p w:rsidR="00CC693B" w:rsidRPr="00810960" w:rsidRDefault="00CC693B" w:rsidP="00680D62">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PDPO and the PCPD</w:t>
            </w:r>
          </w:p>
          <w:p w:rsidR="00CC693B" w:rsidRPr="00810960" w:rsidRDefault="00CC693B" w:rsidP="00680D62">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Principles</w:t>
            </w:r>
          </w:p>
          <w:p w:rsidR="00CC693B" w:rsidRPr="00810960" w:rsidRDefault="00CC693B" w:rsidP="00680D62">
            <w:pPr>
              <w:pStyle w:val="ListParagraph"/>
              <w:numPr>
                <w:ilvl w:val="1"/>
                <w:numId w:val="2"/>
              </w:numPr>
              <w:ind w:right="-108"/>
              <w:jc w:val="left"/>
              <w:rPr>
                <w:rFonts w:ascii="Arial" w:hAnsi="Arial" w:cs="Arial"/>
                <w:color w:val="6C6361"/>
                <w:sz w:val="18"/>
                <w:szCs w:val="18"/>
              </w:rPr>
            </w:pPr>
            <w:r>
              <w:rPr>
                <w:rFonts w:ascii="Arial" w:hAnsi="Arial" w:cs="Arial"/>
                <w:color w:val="6C6361"/>
                <w:sz w:val="18"/>
                <w:szCs w:val="18"/>
              </w:rPr>
              <w:t>Guidelines/</w:t>
            </w:r>
            <w:r w:rsidRPr="00810960">
              <w:rPr>
                <w:rFonts w:ascii="Arial" w:hAnsi="Arial" w:cs="Arial"/>
                <w:color w:val="6C6361"/>
                <w:sz w:val="18"/>
                <w:szCs w:val="18"/>
              </w:rPr>
              <w:t>breach response</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Data coming in &amp; out</w:t>
            </w:r>
          </w:p>
          <w:p w:rsidR="00CC693B" w:rsidRPr="00754856" w:rsidRDefault="00CC693B" w:rsidP="00680D62">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Roadblocks for investigations</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Company device/BYOD/</w:t>
            </w:r>
            <w:proofErr w:type="spellStart"/>
            <w:r w:rsidRPr="00754856">
              <w:rPr>
                <w:rFonts w:ascii="Arial" w:hAnsi="Arial" w:cs="Arial"/>
                <w:color w:val="6C6361"/>
                <w:sz w:val="18"/>
                <w:szCs w:val="18"/>
              </w:rPr>
              <w:t>IoT</w:t>
            </w:r>
            <w:proofErr w:type="spellEnd"/>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Employment waivers/notice/consent</w:t>
            </w:r>
          </w:p>
          <w:p w:rsidR="00CC693B"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Moving data &amp; jurisdictions</w:t>
            </w:r>
          </w:p>
          <w:p w:rsidR="00CC693B" w:rsidRPr="00EB3A57" w:rsidRDefault="00CC693B" w:rsidP="00680D62">
            <w:pPr>
              <w:pStyle w:val="ListParagraph"/>
              <w:numPr>
                <w:ilvl w:val="1"/>
                <w:numId w:val="2"/>
              </w:numPr>
              <w:ind w:right="-108"/>
              <w:jc w:val="left"/>
              <w:rPr>
                <w:rFonts w:ascii="Arial" w:hAnsi="Arial" w:cs="Arial"/>
                <w:color w:val="6C6361"/>
                <w:sz w:val="18"/>
                <w:szCs w:val="18"/>
              </w:rPr>
            </w:pPr>
            <w:proofErr w:type="spellStart"/>
            <w:r w:rsidRPr="00754856">
              <w:rPr>
                <w:rFonts w:ascii="Arial" w:hAnsi="Arial" w:cs="Arial"/>
                <w:color w:val="6C6361"/>
                <w:sz w:val="18"/>
                <w:szCs w:val="18"/>
              </w:rPr>
              <w:t>Virtualisation</w:t>
            </w:r>
            <w:proofErr w:type="spellEnd"/>
            <w:r w:rsidRPr="00754856">
              <w:rPr>
                <w:rFonts w:ascii="Arial" w:hAnsi="Arial" w:cs="Arial"/>
                <w:color w:val="6C6361"/>
                <w:sz w:val="18"/>
                <w:szCs w:val="18"/>
              </w:rPr>
              <w:t xml:space="preserve"> &amp; VPN/Cloud</w:t>
            </w:r>
          </w:p>
        </w:tc>
        <w:tc>
          <w:tcPr>
            <w:tcW w:w="5386" w:type="dxa"/>
            <w:tcBorders>
              <w:top w:val="nil"/>
              <w:left w:val="nil"/>
              <w:bottom w:val="nil"/>
            </w:tcBorders>
            <w:shd w:val="clear" w:color="auto" w:fill="FFFFFF"/>
            <w:vAlign w:val="center"/>
          </w:tcPr>
          <w:p w:rsidR="00CC693B" w:rsidRPr="00754856" w:rsidRDefault="00CC693B" w:rsidP="00680D62">
            <w:pPr>
              <w:pStyle w:val="ListParagraph"/>
              <w:numPr>
                <w:ilvl w:val="0"/>
                <w:numId w:val="2"/>
              </w:numPr>
              <w:ind w:right="-108"/>
              <w:jc w:val="left"/>
              <w:rPr>
                <w:rFonts w:ascii="Arial" w:hAnsi="Arial" w:cs="Arial"/>
                <w:color w:val="6C6361"/>
                <w:sz w:val="18"/>
                <w:szCs w:val="18"/>
              </w:rPr>
            </w:pPr>
            <w:r w:rsidRPr="00EB3A57">
              <w:rPr>
                <w:rFonts w:ascii="Arial" w:hAnsi="Arial" w:cs="Arial"/>
                <w:noProof/>
                <w:color w:val="6C6361"/>
                <w:sz w:val="18"/>
                <w:szCs w:val="18"/>
              </w:rPr>
              <w:drawing>
                <wp:anchor distT="0" distB="0" distL="114300" distR="114300" simplePos="0" relativeHeight="251659264" behindDoc="1" locked="0" layoutInCell="1" allowOverlap="1" wp14:anchorId="3FF16937" wp14:editId="2B5E39C0">
                  <wp:simplePos x="0" y="0"/>
                  <wp:positionH relativeFrom="column">
                    <wp:posOffset>2341245</wp:posOffset>
                  </wp:positionH>
                  <wp:positionV relativeFrom="paragraph">
                    <wp:posOffset>82550</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856">
              <w:rPr>
                <w:rFonts w:ascii="Arial" w:hAnsi="Arial" w:cs="Arial"/>
                <w:color w:val="6C6361"/>
                <w:sz w:val="18"/>
                <w:szCs w:val="18"/>
              </w:rPr>
              <w:t>Emerging risks</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Cyber</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Geo tagging</w:t>
            </w:r>
            <w:r>
              <w:rPr>
                <w:rFonts w:ascii="Arial" w:hAnsi="Arial" w:cs="Arial"/>
                <w:color w:val="6C6361"/>
                <w:sz w:val="18"/>
                <w:szCs w:val="18"/>
              </w:rPr>
              <w:t xml:space="preserve"> </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 xml:space="preserve">Health </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Social media</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IP addresses</w:t>
            </w:r>
          </w:p>
          <w:p w:rsidR="00CC693B" w:rsidRPr="00754856" w:rsidRDefault="00CC693B" w:rsidP="00680D62">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Outside Hong Kong</w:t>
            </w:r>
          </w:p>
          <w:p w:rsidR="00CC693B" w:rsidRDefault="00CC693B" w:rsidP="00680D62">
            <w:pPr>
              <w:pStyle w:val="ListParagraph"/>
              <w:numPr>
                <w:ilvl w:val="1"/>
                <w:numId w:val="2"/>
              </w:numPr>
              <w:ind w:right="-108"/>
              <w:jc w:val="left"/>
              <w:rPr>
                <w:rFonts w:ascii="Arial" w:hAnsi="Arial" w:cs="Arial"/>
                <w:color w:val="6C6361"/>
                <w:sz w:val="18"/>
                <w:szCs w:val="18"/>
              </w:rPr>
            </w:pPr>
            <w:r>
              <w:rPr>
                <w:rFonts w:ascii="Arial" w:hAnsi="Arial" w:cs="Arial"/>
                <w:color w:val="6C6361"/>
                <w:sz w:val="18"/>
                <w:szCs w:val="18"/>
              </w:rPr>
              <w:t>Data privacy blocks</w:t>
            </w:r>
          </w:p>
          <w:p w:rsidR="00CC693B" w:rsidRPr="00754856" w:rsidRDefault="00CC693B" w:rsidP="00680D62">
            <w:pPr>
              <w:pStyle w:val="ListParagraph"/>
              <w:ind w:right="-108"/>
              <w:jc w:val="left"/>
              <w:rPr>
                <w:rFonts w:ascii="Arial" w:hAnsi="Arial" w:cs="Arial"/>
                <w:color w:val="6C6361"/>
                <w:sz w:val="18"/>
                <w:szCs w:val="18"/>
              </w:rPr>
            </w:pPr>
            <w:r w:rsidRPr="00754856">
              <w:rPr>
                <w:rFonts w:ascii="Arial" w:hAnsi="Arial" w:cs="Arial"/>
                <w:color w:val="6C6361"/>
                <w:sz w:val="18"/>
                <w:szCs w:val="18"/>
              </w:rPr>
              <w:t>- Macao &amp; EU as examples</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Cyber blocks - China as an example</w:t>
            </w:r>
          </w:p>
          <w:p w:rsidR="00CC693B" w:rsidRDefault="00CC693B" w:rsidP="00680D62">
            <w:pPr>
              <w:pStyle w:val="ListParagraph"/>
              <w:numPr>
                <w:ilvl w:val="1"/>
                <w:numId w:val="2"/>
              </w:numPr>
              <w:ind w:right="-108"/>
              <w:jc w:val="left"/>
              <w:rPr>
                <w:rFonts w:ascii="Arial" w:hAnsi="Arial" w:cs="Arial"/>
                <w:color w:val="6C6361"/>
                <w:sz w:val="18"/>
                <w:szCs w:val="18"/>
              </w:rPr>
            </w:pPr>
            <w:r>
              <w:rPr>
                <w:rFonts w:ascii="Arial" w:hAnsi="Arial" w:cs="Arial"/>
                <w:color w:val="6C6361"/>
                <w:sz w:val="18"/>
                <w:szCs w:val="18"/>
              </w:rPr>
              <w:t>National secrecy blocks</w:t>
            </w:r>
          </w:p>
          <w:p w:rsidR="00CC693B" w:rsidRPr="00F76647" w:rsidRDefault="00CC693B" w:rsidP="00680D62">
            <w:pPr>
              <w:pStyle w:val="ListParagraph"/>
              <w:ind w:right="-108"/>
              <w:jc w:val="left"/>
              <w:rPr>
                <w:rFonts w:ascii="Arial" w:hAnsi="Arial" w:cs="Arial"/>
                <w:color w:val="6C6361"/>
                <w:sz w:val="18"/>
                <w:szCs w:val="18"/>
              </w:rPr>
            </w:pPr>
            <w:r w:rsidRPr="00754856">
              <w:rPr>
                <w:rFonts w:ascii="Arial" w:hAnsi="Arial" w:cs="Arial"/>
                <w:color w:val="6C6361"/>
                <w:sz w:val="18"/>
                <w:szCs w:val="18"/>
              </w:rPr>
              <w:t>-</w:t>
            </w:r>
            <w:r>
              <w:rPr>
                <w:rFonts w:ascii="Arial" w:hAnsi="Arial" w:cs="Arial"/>
                <w:color w:val="6C6361"/>
                <w:sz w:val="18"/>
                <w:szCs w:val="18"/>
              </w:rPr>
              <w:t xml:space="preserve"> China &amp; Vietnam </w:t>
            </w:r>
            <w:r w:rsidRPr="00F76647">
              <w:rPr>
                <w:rFonts w:ascii="Arial" w:hAnsi="Arial" w:cs="Arial"/>
                <w:color w:val="6C6361"/>
                <w:sz w:val="18"/>
                <w:szCs w:val="18"/>
              </w:rPr>
              <w:t>as example</w:t>
            </w:r>
          </w:p>
          <w:p w:rsidR="00CC693B" w:rsidRPr="00754856" w:rsidRDefault="00CC693B" w:rsidP="00680D62">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Tech</w:t>
            </w:r>
            <w:r>
              <w:rPr>
                <w:rFonts w:ascii="Arial" w:hAnsi="Arial" w:cs="Arial"/>
                <w:color w:val="6C6361"/>
                <w:sz w:val="18"/>
                <w:szCs w:val="18"/>
              </w:rPr>
              <w:t>nology</w:t>
            </w:r>
            <w:r w:rsidRPr="00754856">
              <w:rPr>
                <w:rFonts w:ascii="Arial" w:hAnsi="Arial" w:cs="Arial"/>
                <w:color w:val="6C6361"/>
                <w:sz w:val="18"/>
                <w:szCs w:val="18"/>
              </w:rPr>
              <w:t xml:space="preserve"> solutions</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Investigations</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Regulatory</w:t>
            </w:r>
          </w:p>
          <w:p w:rsidR="00CC693B" w:rsidRPr="00754856" w:rsidRDefault="00CC693B" w:rsidP="00680D62">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M&amp;A etc.</w:t>
            </w:r>
          </w:p>
          <w:p w:rsidR="00CC693B" w:rsidRPr="00F76647" w:rsidRDefault="00CC693B" w:rsidP="00680D62">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Best practices</w:t>
            </w:r>
          </w:p>
        </w:tc>
      </w:tr>
    </w:tbl>
    <w:p w:rsidR="00CC693B" w:rsidRPr="00EB3A57" w:rsidRDefault="00CC693B" w:rsidP="00CC693B">
      <w:pPr>
        <w:spacing w:line="276" w:lineRule="auto"/>
        <w:rPr>
          <w:rFonts w:ascii="Arial" w:hAnsi="Arial" w:cs="Arial"/>
          <w:sz w:val="12"/>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CC693B" w:rsidRPr="000762CF" w:rsidTr="00680D62">
        <w:trPr>
          <w:trHeight w:val="284"/>
          <w:jc w:val="center"/>
        </w:trPr>
        <w:tc>
          <w:tcPr>
            <w:tcW w:w="1701" w:type="dxa"/>
            <w:tcBorders>
              <w:top w:val="nil"/>
              <w:left w:val="nil"/>
              <w:bottom w:val="single" w:sz="12" w:space="0" w:color="FFFFFF"/>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EVT000000202</w:t>
            </w:r>
          </w:p>
        </w:tc>
        <w:tc>
          <w:tcPr>
            <w:tcW w:w="1701" w:type="dxa"/>
            <w:tcBorders>
              <w:top w:val="nil"/>
              <w:bottom w:val="single" w:sz="12" w:space="0" w:color="FFFFFF"/>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CC693B" w:rsidRPr="000762CF" w:rsidTr="00680D62">
        <w:trPr>
          <w:trHeight w:val="284"/>
          <w:jc w:val="center"/>
        </w:trPr>
        <w:tc>
          <w:tcPr>
            <w:tcW w:w="1701" w:type="dxa"/>
            <w:tcBorders>
              <w:top w:val="single" w:sz="12" w:space="0" w:color="FFFFFF"/>
              <w:left w:val="nil"/>
              <w:bottom w:val="single" w:sz="12" w:space="0" w:color="FFFFFF"/>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October 2017 (Friday)</w:t>
            </w:r>
          </w:p>
        </w:tc>
        <w:tc>
          <w:tcPr>
            <w:tcW w:w="1701" w:type="dxa"/>
            <w:tcBorders>
              <w:top w:val="single" w:sz="12" w:space="0" w:color="FFFFFF"/>
              <w:bottom w:val="single" w:sz="12" w:space="0" w:color="FFFFFF"/>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CC693B" w:rsidRPr="000762CF" w:rsidTr="00680D62">
        <w:trPr>
          <w:trHeight w:val="284"/>
          <w:jc w:val="center"/>
        </w:trPr>
        <w:tc>
          <w:tcPr>
            <w:tcW w:w="1701" w:type="dxa"/>
            <w:tcBorders>
              <w:top w:val="single" w:sz="12" w:space="0" w:color="FFFFFF"/>
              <w:left w:val="nil"/>
              <w:bottom w:val="single" w:sz="12" w:space="0" w:color="FFFFFF"/>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C693B"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LSHK RME Elective Course</w:t>
            </w:r>
          </w:p>
          <w:p w:rsidR="00CC693B"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p w:rsidR="00CC693B" w:rsidRPr="00793428"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793428">
              <w:rPr>
                <w:rFonts w:ascii="Arial" w:hAnsi="Arial" w:cs="Arial"/>
                <w:color w:val="6C6361"/>
                <w:sz w:val="20"/>
                <w:szCs w:val="20"/>
              </w:rPr>
              <w:t>(LSHK Allocated Number: 20173411)</w:t>
            </w:r>
          </w:p>
        </w:tc>
      </w:tr>
      <w:tr w:rsidR="00CC693B" w:rsidRPr="000762CF" w:rsidTr="00680D62">
        <w:trPr>
          <w:trHeight w:val="1247"/>
          <w:jc w:val="center"/>
        </w:trPr>
        <w:tc>
          <w:tcPr>
            <w:tcW w:w="1701" w:type="dxa"/>
            <w:tcBorders>
              <w:top w:val="single" w:sz="12" w:space="0" w:color="FFFFFF"/>
              <w:left w:val="nil"/>
              <w:bottom w:val="nil"/>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C693B" w:rsidRPr="000762CF" w:rsidRDefault="00CC693B" w:rsidP="00680D6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C693B" w:rsidRPr="000762CF" w:rsidRDefault="00CC693B" w:rsidP="00680D62">
            <w:pPr>
              <w:jc w:val="right"/>
              <w:rPr>
                <w:rFonts w:ascii="Arial" w:hAnsi="Arial" w:cs="Arial"/>
                <w:b/>
                <w:color w:val="6C6361"/>
                <w:sz w:val="20"/>
                <w:szCs w:val="20"/>
              </w:rPr>
            </w:pPr>
          </w:p>
          <w:p w:rsidR="00CC693B" w:rsidRPr="000762CF" w:rsidRDefault="00CC693B" w:rsidP="00680D62">
            <w:pPr>
              <w:jc w:val="right"/>
              <w:rPr>
                <w:rFonts w:ascii="Arial" w:hAnsi="Arial" w:cs="Arial"/>
                <w:b/>
                <w:color w:val="6C6361"/>
                <w:sz w:val="20"/>
                <w:szCs w:val="20"/>
              </w:rPr>
            </w:pPr>
          </w:p>
          <w:p w:rsidR="00CC693B" w:rsidRPr="000762CF" w:rsidRDefault="00CC693B" w:rsidP="00680D6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58DA3B43" wp14:editId="4720623D">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C693B" w:rsidRPr="000762CF" w:rsidRDefault="00CC693B" w:rsidP="00680D6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rsidR="00CC693B" w:rsidRPr="00156567"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065A363" wp14:editId="1639F60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C693B" w:rsidRDefault="00214BC6" w:rsidP="00CC693B">
      <w:pPr>
        <w:rPr>
          <w:sz w:val="2"/>
          <w:szCs w:val="2"/>
        </w:rPr>
      </w:pPr>
    </w:p>
    <w:sectPr w:rsidR="00214BC6" w:rsidRPr="00CC693B"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835" w:rsidRDefault="00634835" w:rsidP="00546556">
      <w:r>
        <w:separator/>
      </w:r>
    </w:p>
  </w:endnote>
  <w:endnote w:type="continuationSeparator" w:id="0">
    <w:p w:rsidR="00634835" w:rsidRDefault="0063483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835" w:rsidRDefault="00634835" w:rsidP="00546556">
      <w:r>
        <w:separator/>
      </w:r>
    </w:p>
  </w:footnote>
  <w:footnote w:type="continuationSeparator" w:id="0">
    <w:p w:rsidR="00634835" w:rsidRDefault="0063483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S1uZTMZDTs1nAQWp4rGPAD6TBTOvDtiapJwrWiSaZALTszUCioco6xshMFSoqwmrURcoBj201C9OJuklmYT2Q==" w:salt="Z0sh3hhfPCM7O9D7rOdZu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4674"/>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22EB"/>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4835"/>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564"/>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2CF"/>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5BD"/>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693B"/>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98/"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ofectional.com/presenters/idl000014153/" TargetMode="External"/><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202/"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635C6-4C4A-4C8C-A02A-EB7F0E89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Conducting Investigations While Following Data Privacy Laws: The Great Convergence</vt:lpstr>
    </vt:vector>
  </TitlesOfParts>
  <Manager>Tyrone Tsang</Manager>
  <Company>The Profectional Company Limited</Company>
  <LinksUpToDate>false</LinksUpToDate>
  <CharactersWithSpaces>3280</CharactersWithSpaces>
  <SharedDoc>false</SharedDoc>
  <HyperlinkBase>http://download.profectional.com/events/EVT000000202.docx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Reducing Data Privacy Risks for Law Firms</dc:title>
  <dc:subject>CPD Course: RME Elective: Reducing Data Privacy Risks for Law Firms</dc:subject>
  <dc:creator>The Profectional Company Limited</dc:creator>
  <cp:keywords>Profectional; Kornerstone; CPD; CPT; CLE; CE; RME; Dmitri Hubbard; General Counsel; Blue Dragon Asia</cp:keywords>
  <cp:lastModifiedBy>Tyrone Tsang</cp:lastModifiedBy>
  <cp:revision>39</cp:revision>
  <cp:lastPrinted>2017-10-19T14:52:00Z</cp:lastPrinted>
  <dcterms:created xsi:type="dcterms:W3CDTF">2015-08-21T08:33:00Z</dcterms:created>
  <dcterms:modified xsi:type="dcterms:W3CDTF">2017-10-19T14:53:00Z</dcterms:modified>
</cp:coreProperties>
</file>