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1B6" w:rsidRPr="004C41B6" w:rsidRDefault="004C41B6" w:rsidP="004C41B6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4C41B6" w:rsidRPr="00523A64" w:rsidTr="003E26FF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4C41B6" w:rsidRPr="001A3018" w:rsidRDefault="004C41B6" w:rsidP="003E26FF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4C41B6" w:rsidRDefault="004C41B6" w:rsidP="003E26FF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"http://cpd.hk/evt000000206/"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Geographical Indications</w:t>
            </w:r>
          </w:p>
          <w:p w:rsidR="004C41B6" w:rsidRDefault="004C41B6" w:rsidP="003E26FF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and the Protection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</w:rPr>
              <w:t xml:space="preserve"> </w:t>
            </w:r>
          </w:p>
          <w:p w:rsidR="004C41B6" w:rsidRDefault="004C41B6" w:rsidP="003E26FF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of Wine on the</w:t>
            </w:r>
          </w:p>
          <w:p w:rsidR="004C41B6" w:rsidRPr="00CF685C" w:rsidRDefault="004C41B6" w:rsidP="003E26FF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E06F5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Battleground of China</w:t>
            </w:r>
          </w:p>
          <w:p w:rsidR="004C41B6" w:rsidRPr="00C65AFD" w:rsidRDefault="004C41B6" w:rsidP="003E26F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4C41B6" w:rsidRPr="00C65AFD" w:rsidRDefault="004C41B6" w:rsidP="003E26FF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4C41B6" w:rsidRDefault="004C41B6" w:rsidP="003E26FF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hyperlink r:id="rId8" w:history="1"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Dr. Danny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Friedmann</w:t>
              </w:r>
              <w:proofErr w:type="spellEnd"/>
            </w:hyperlink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4C41B6" w:rsidRPr="00862A84" w:rsidRDefault="004C41B6" w:rsidP="003E26FF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PhD, LLM, BBA</w:t>
            </w:r>
            <w:r w:rsidRPr="00862A84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4C41B6" w:rsidRPr="00862A84" w:rsidRDefault="004C41B6" w:rsidP="003E26FF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62A84">
              <w:rPr>
                <w:rFonts w:ascii="Arial" w:hAnsi="Arial" w:cs="Arial"/>
                <w:color w:val="6C6361"/>
                <w:sz w:val="24"/>
                <w:szCs w:val="24"/>
              </w:rPr>
              <w:t>Author, Trademarks and Social Media,</w:t>
            </w:r>
          </w:p>
          <w:p w:rsidR="004C41B6" w:rsidRDefault="004C41B6" w:rsidP="003E26FF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62A84">
              <w:rPr>
                <w:rFonts w:ascii="Arial" w:hAnsi="Arial" w:cs="Arial"/>
                <w:color w:val="6C6361"/>
                <w:sz w:val="24"/>
                <w:szCs w:val="24"/>
              </w:rPr>
              <w:t xml:space="preserve">Founder &amp; Editor, </w:t>
            </w:r>
            <w:hyperlink r:id="rId9" w:history="1">
              <w:r w:rsidRPr="0071271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IP Dragon</w:t>
              </w:r>
            </w:hyperlink>
          </w:p>
          <w:p w:rsidR="004C41B6" w:rsidRPr="00862A84" w:rsidRDefault="004C41B6" w:rsidP="003E26FF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4C41B6" w:rsidRPr="00D50772" w:rsidRDefault="004C41B6" w:rsidP="003E26FF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AB08F5">
              <w:rPr>
                <w:rStyle w:val="Hyperlink"/>
                <w:rFonts w:ascii="Arial" w:hAnsi="Arial" w:cs="Arial"/>
                <w:b/>
                <w:bCs/>
                <w:noProof/>
                <w:color w:val="524B48"/>
                <w:sz w:val="32"/>
                <w:szCs w:val="32"/>
                <w:u w:val="none"/>
              </w:rPr>
              <w:drawing>
                <wp:anchor distT="0" distB="0" distL="114300" distR="114300" simplePos="0" relativeHeight="251659264" behindDoc="0" locked="0" layoutInCell="1" allowOverlap="1" wp14:anchorId="400CE92E" wp14:editId="4A5A6845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-99695</wp:posOffset>
                  </wp:positionV>
                  <wp:extent cx="539750" cy="546735"/>
                  <wp:effectExtent l="0" t="0" r="0" b="5715"/>
                  <wp:wrapNone/>
                  <wp:docPr id="9" name="Picture 9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095F01C0" wp14:editId="1CD2DEB2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41B6" w:rsidRDefault="004C41B6" w:rsidP="004C41B6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4C41B6" w:rsidRPr="0051550E" w:rsidTr="003E26FF">
        <w:trPr>
          <w:trHeight w:val="6644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4C41B6" w:rsidRPr="0051550E" w:rsidRDefault="004C41B6" w:rsidP="003E26FF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550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B61220" wp14:editId="43E2500F">
                  <wp:extent cx="1080135" cy="1440180"/>
                  <wp:effectExtent l="0" t="0" r="5715" b="7620"/>
                  <wp:docPr id="8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4C41B6" w:rsidRDefault="004C41B6" w:rsidP="004C41B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D563FE">
              <w:rPr>
                <w:rFonts w:ascii="Arial" w:hAnsi="Arial" w:cs="Arial"/>
                <w:color w:val="6C6361"/>
              </w:rPr>
              <w:t xml:space="preserve">Dr. Danny </w:t>
            </w:r>
            <w:proofErr w:type="spellStart"/>
            <w:r w:rsidRPr="00D563FE">
              <w:rPr>
                <w:rFonts w:ascii="Arial" w:hAnsi="Arial" w:cs="Arial"/>
                <w:color w:val="6C6361"/>
              </w:rPr>
              <w:t>Friedmann</w:t>
            </w:r>
            <w:proofErr w:type="spellEnd"/>
            <w:r w:rsidRPr="00D563FE">
              <w:rPr>
                <w:rFonts w:ascii="Arial" w:hAnsi="Arial" w:cs="Arial"/>
                <w:color w:val="6C6361"/>
              </w:rPr>
              <w:t xml:space="preserve"> is an award-winning researcher and lecturer of Intellectual P</w:t>
            </w:r>
            <w:r>
              <w:rPr>
                <w:rFonts w:ascii="Arial" w:hAnsi="Arial" w:cs="Arial"/>
                <w:color w:val="6C6361"/>
              </w:rPr>
              <w:t>roperty Law based in Hong Kong.</w:t>
            </w:r>
          </w:p>
          <w:p w:rsidR="004C41B6" w:rsidRPr="00D563FE" w:rsidRDefault="004C41B6" w:rsidP="004C41B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</w:rPr>
            </w:pPr>
          </w:p>
          <w:p w:rsidR="004C41B6" w:rsidRDefault="004C41B6" w:rsidP="004C41B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D563FE">
              <w:rPr>
                <w:rFonts w:ascii="Arial" w:hAnsi="Arial" w:cs="Arial"/>
                <w:color w:val="6C6361"/>
              </w:rPr>
              <w:t>His monograph is called 'Trademarks and Social Media, Towards Algorithmic Justice' (Edward Elg</w:t>
            </w:r>
            <w:r>
              <w:rPr>
                <w:rFonts w:ascii="Arial" w:hAnsi="Arial" w:cs="Arial"/>
                <w:color w:val="6C6361"/>
              </w:rPr>
              <w:t xml:space="preserve">ar Publishing, September 2015).  </w:t>
            </w:r>
            <w:r w:rsidRPr="00D563FE">
              <w:rPr>
                <w:rFonts w:ascii="Arial" w:hAnsi="Arial" w:cs="Arial"/>
                <w:color w:val="6C6361"/>
              </w:rPr>
              <w:t>His peer-reviewed articles are published by Journal of Intellectual Property Law and Practice (Oxford University Press), European Intellectual Property Review, Benelux Trade Marks and Design Righ</w:t>
            </w:r>
            <w:r>
              <w:rPr>
                <w:rFonts w:ascii="Arial" w:hAnsi="Arial" w:cs="Arial"/>
                <w:color w:val="6C6361"/>
              </w:rPr>
              <w:t xml:space="preserve">ts (BMM) Bulletin and GRUR Int.  </w:t>
            </w:r>
            <w:r w:rsidRPr="00D563FE">
              <w:rPr>
                <w:rFonts w:ascii="Arial" w:hAnsi="Arial" w:cs="Arial"/>
                <w:color w:val="6C6361"/>
              </w:rPr>
              <w:t>He also published in the California Western International Law Journal.</w:t>
            </w:r>
          </w:p>
          <w:p w:rsidR="004C41B6" w:rsidRPr="00D563FE" w:rsidRDefault="004C41B6" w:rsidP="004C41B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</w:rPr>
            </w:pPr>
          </w:p>
          <w:p w:rsidR="004C41B6" w:rsidRDefault="004C41B6" w:rsidP="004C41B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D563FE">
              <w:rPr>
                <w:rFonts w:ascii="Arial" w:hAnsi="Arial" w:cs="Arial"/>
                <w:color w:val="6C6361"/>
              </w:rPr>
              <w:t>His book chapter on Google and China was quoted by the Advocate General of the Court of Justice of the European Union in</w:t>
            </w:r>
            <w:r>
              <w:rPr>
                <w:rFonts w:ascii="Arial" w:hAnsi="Arial" w:cs="Arial"/>
                <w:color w:val="6C6361"/>
              </w:rPr>
              <w:t xml:space="preserve"> Google Spain C-131/12 in 2013.</w:t>
            </w:r>
          </w:p>
          <w:p w:rsidR="004C41B6" w:rsidRPr="00D563FE" w:rsidRDefault="004C41B6" w:rsidP="004C41B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</w:rPr>
            </w:pPr>
          </w:p>
          <w:p w:rsidR="004C41B6" w:rsidRDefault="004C41B6" w:rsidP="004C41B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</w:rPr>
            </w:pPr>
            <w:proofErr w:type="spellStart"/>
            <w:r w:rsidRPr="00D563FE">
              <w:rPr>
                <w:rFonts w:ascii="Arial" w:hAnsi="Arial" w:cs="Arial"/>
                <w:color w:val="6C6361"/>
              </w:rPr>
              <w:t>Friedmann</w:t>
            </w:r>
            <w:proofErr w:type="spellEnd"/>
            <w:r w:rsidRPr="00D563FE">
              <w:rPr>
                <w:rFonts w:ascii="Arial" w:hAnsi="Arial" w:cs="Arial"/>
                <w:color w:val="6C6361"/>
              </w:rPr>
              <w:t xml:space="preserve"> has been involved with </w:t>
            </w:r>
            <w:proofErr w:type="spellStart"/>
            <w:r w:rsidRPr="00D563FE">
              <w:rPr>
                <w:rFonts w:ascii="Arial" w:hAnsi="Arial" w:cs="Arial"/>
                <w:color w:val="6C6361"/>
              </w:rPr>
              <w:t>WILMap</w:t>
            </w:r>
            <w:proofErr w:type="spellEnd"/>
            <w:r w:rsidRPr="00D563FE">
              <w:rPr>
                <w:rFonts w:ascii="Arial" w:hAnsi="Arial" w:cs="Arial"/>
                <w:color w:val="6C6361"/>
              </w:rPr>
              <w:t xml:space="preserve"> of the Stanford Center for Internet and Society since 2014. 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  <w:r w:rsidRPr="00D563FE">
              <w:rPr>
                <w:rFonts w:ascii="Arial" w:hAnsi="Arial" w:cs="Arial"/>
                <w:color w:val="6C6361"/>
              </w:rPr>
              <w:t xml:space="preserve">His blog called IP Dragon, which he founded in 2005, is widely read. </w:t>
            </w:r>
            <w:proofErr w:type="spellStart"/>
            <w:r w:rsidRPr="00D563FE">
              <w:rPr>
                <w:rFonts w:ascii="Arial" w:hAnsi="Arial" w:cs="Arial"/>
                <w:color w:val="6C6361"/>
              </w:rPr>
              <w:t>Friedmann</w:t>
            </w:r>
            <w:proofErr w:type="spellEnd"/>
            <w:r w:rsidRPr="00D563FE">
              <w:rPr>
                <w:rFonts w:ascii="Arial" w:hAnsi="Arial" w:cs="Arial"/>
                <w:color w:val="6C6361"/>
              </w:rPr>
              <w:t xml:space="preserve"> also publishes regularly in media, such as IP Kat, IP-Watch,</w:t>
            </w:r>
            <w:r>
              <w:rPr>
                <w:rFonts w:ascii="Arial" w:hAnsi="Arial" w:cs="Arial"/>
                <w:color w:val="6C6361"/>
              </w:rPr>
              <w:t xml:space="preserve"> SCMP and Hong Kong Free Press.</w:t>
            </w:r>
          </w:p>
          <w:p w:rsidR="004C41B6" w:rsidRPr="00D563FE" w:rsidRDefault="004C41B6" w:rsidP="004C41B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</w:rPr>
            </w:pPr>
          </w:p>
          <w:p w:rsidR="004C41B6" w:rsidRPr="0051550E" w:rsidRDefault="004C41B6" w:rsidP="004C41B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D563FE">
              <w:rPr>
                <w:rFonts w:ascii="Arial" w:hAnsi="Arial" w:cs="Arial"/>
                <w:color w:val="6C6361"/>
              </w:rPr>
              <w:t xml:space="preserve">He was invited as International Guest Speaker of the EU Centre for Global Affairs at the University of Adelaide in October 2016, and </w:t>
            </w:r>
            <w:proofErr w:type="spellStart"/>
            <w:r w:rsidRPr="00D563FE">
              <w:rPr>
                <w:rFonts w:ascii="Arial" w:hAnsi="Arial" w:cs="Arial"/>
                <w:color w:val="6C6361"/>
              </w:rPr>
              <w:t>Castetter</w:t>
            </w:r>
            <w:proofErr w:type="spellEnd"/>
            <w:r w:rsidRPr="00D563FE">
              <w:rPr>
                <w:rFonts w:ascii="Arial" w:hAnsi="Arial" w:cs="Arial"/>
                <w:color w:val="6C6361"/>
              </w:rPr>
              <w:t xml:space="preserve"> Visiting Scholar at California Western School of Law in San Diego, in July 2016.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  <w:r w:rsidRPr="00D563FE">
              <w:rPr>
                <w:rFonts w:ascii="Arial" w:hAnsi="Arial" w:cs="Arial"/>
                <w:color w:val="6C6361"/>
              </w:rPr>
              <w:t xml:space="preserve"> He is a Principal Commentator and External Examiner at the University of Macau since 2016.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  <w:r w:rsidRPr="00D563FE">
              <w:rPr>
                <w:rFonts w:ascii="Arial" w:hAnsi="Arial" w:cs="Arial"/>
                <w:color w:val="6C6361"/>
              </w:rPr>
              <w:t xml:space="preserve"> In October 2017 he will be a visiting scholar at the University of Macau.</w:t>
            </w:r>
          </w:p>
        </w:tc>
      </w:tr>
    </w:tbl>
    <w:p w:rsidR="004C41B6" w:rsidRDefault="004C41B6" w:rsidP="004C41B6">
      <w:pPr>
        <w:spacing w:line="276" w:lineRule="auto"/>
        <w:rPr>
          <w:rFonts w:ascii="Arial" w:hAnsi="Arial" w:cs="Arial"/>
          <w:sz w:val="20"/>
          <w:szCs w:val="20"/>
        </w:rPr>
      </w:pPr>
    </w:p>
    <w:p w:rsidR="004C41B6" w:rsidRDefault="004C41B6" w:rsidP="004C41B6">
      <w:pPr>
        <w:spacing w:line="276" w:lineRule="auto"/>
        <w:rPr>
          <w:rFonts w:ascii="Arial" w:hAnsi="Arial" w:cs="Arial"/>
          <w:sz w:val="20"/>
          <w:szCs w:val="20"/>
        </w:rPr>
      </w:pPr>
    </w:p>
    <w:p w:rsidR="004C41B6" w:rsidRDefault="004C41B6" w:rsidP="004C41B6">
      <w:pPr>
        <w:spacing w:line="276" w:lineRule="auto"/>
        <w:rPr>
          <w:rFonts w:ascii="Arial" w:hAnsi="Arial" w:cs="Arial"/>
          <w:sz w:val="20"/>
          <w:szCs w:val="20"/>
        </w:rPr>
      </w:pPr>
    </w:p>
    <w:p w:rsidR="004C41B6" w:rsidRDefault="004C41B6" w:rsidP="004C41B6">
      <w:pPr>
        <w:spacing w:line="276" w:lineRule="auto"/>
        <w:rPr>
          <w:rFonts w:ascii="Arial" w:hAnsi="Arial" w:cs="Arial"/>
          <w:sz w:val="20"/>
          <w:szCs w:val="20"/>
        </w:rPr>
      </w:pPr>
    </w:p>
    <w:p w:rsidR="004C41B6" w:rsidRDefault="004C41B6" w:rsidP="004C41B6">
      <w:pPr>
        <w:spacing w:line="276" w:lineRule="auto"/>
        <w:rPr>
          <w:rFonts w:ascii="Arial" w:hAnsi="Arial" w:cs="Arial"/>
          <w:sz w:val="20"/>
          <w:szCs w:val="20"/>
        </w:rPr>
      </w:pPr>
    </w:p>
    <w:p w:rsidR="004C41B6" w:rsidRDefault="004C41B6" w:rsidP="004C41B6">
      <w:pPr>
        <w:spacing w:line="276" w:lineRule="auto"/>
        <w:rPr>
          <w:rFonts w:ascii="Arial" w:hAnsi="Arial" w:cs="Arial"/>
          <w:sz w:val="20"/>
          <w:szCs w:val="20"/>
        </w:rPr>
      </w:pPr>
    </w:p>
    <w:p w:rsidR="004C41B6" w:rsidRDefault="004C41B6" w:rsidP="004C41B6">
      <w:pPr>
        <w:spacing w:line="276" w:lineRule="auto"/>
        <w:rPr>
          <w:rFonts w:ascii="Arial" w:hAnsi="Arial" w:cs="Arial"/>
          <w:sz w:val="20"/>
          <w:szCs w:val="20"/>
        </w:rPr>
      </w:pPr>
    </w:p>
    <w:p w:rsidR="004C41B6" w:rsidRDefault="004C41B6" w:rsidP="004C41B6">
      <w:pPr>
        <w:spacing w:line="276" w:lineRule="auto"/>
        <w:rPr>
          <w:rFonts w:ascii="Arial" w:hAnsi="Arial" w:cs="Arial"/>
          <w:sz w:val="20"/>
          <w:szCs w:val="20"/>
        </w:rPr>
      </w:pPr>
    </w:p>
    <w:p w:rsidR="004C41B6" w:rsidRDefault="004C41B6" w:rsidP="004C41B6">
      <w:pPr>
        <w:spacing w:line="276" w:lineRule="auto"/>
        <w:rPr>
          <w:rFonts w:ascii="Arial" w:hAnsi="Arial" w:cs="Arial"/>
          <w:sz w:val="20"/>
          <w:szCs w:val="20"/>
        </w:rPr>
      </w:pPr>
    </w:p>
    <w:p w:rsidR="004C41B6" w:rsidRDefault="004C41B6" w:rsidP="004C41B6">
      <w:pPr>
        <w:spacing w:line="276" w:lineRule="auto"/>
        <w:rPr>
          <w:rFonts w:ascii="Arial" w:hAnsi="Arial" w:cs="Arial"/>
          <w:sz w:val="20"/>
          <w:szCs w:val="20"/>
        </w:rPr>
      </w:pPr>
    </w:p>
    <w:p w:rsidR="004C41B6" w:rsidRDefault="004C41B6" w:rsidP="004C41B6">
      <w:pPr>
        <w:spacing w:line="276" w:lineRule="auto"/>
        <w:rPr>
          <w:rFonts w:ascii="Arial" w:hAnsi="Arial" w:cs="Arial"/>
          <w:sz w:val="20"/>
          <w:szCs w:val="20"/>
        </w:rPr>
      </w:pPr>
    </w:p>
    <w:p w:rsidR="004C41B6" w:rsidRDefault="004C41B6" w:rsidP="004C41B6">
      <w:pPr>
        <w:spacing w:line="276" w:lineRule="auto"/>
        <w:rPr>
          <w:rFonts w:ascii="Arial" w:hAnsi="Arial" w:cs="Arial"/>
          <w:sz w:val="20"/>
          <w:szCs w:val="20"/>
        </w:rPr>
      </w:pPr>
    </w:p>
    <w:p w:rsidR="004C41B6" w:rsidRDefault="004C41B6" w:rsidP="004C41B6">
      <w:pPr>
        <w:spacing w:line="276" w:lineRule="auto"/>
        <w:rPr>
          <w:rFonts w:ascii="Arial" w:hAnsi="Arial" w:cs="Arial"/>
          <w:sz w:val="20"/>
          <w:szCs w:val="20"/>
        </w:rPr>
      </w:pPr>
    </w:p>
    <w:p w:rsidR="004C41B6" w:rsidRDefault="004C41B6" w:rsidP="004C41B6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9045"/>
        <w:gridCol w:w="1728"/>
      </w:tblGrid>
      <w:tr w:rsidR="004C41B6" w:rsidRPr="00390282" w:rsidTr="003E26FF">
        <w:trPr>
          <w:trHeight w:val="2551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C41B6" w:rsidRPr="00336C06" w:rsidRDefault="004C41B6" w:rsidP="003E26FF">
            <w:p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36C06">
              <w:rPr>
                <w:rFonts w:ascii="Arial" w:hAnsi="Arial" w:cs="Arial"/>
                <w:color w:val="6C6361"/>
                <w:sz w:val="24"/>
                <w:szCs w:val="24"/>
              </w:rPr>
              <w:lastRenderedPageBreak/>
              <w:t xml:space="preserve">The EU (Old World) is ferociously protecting its Geographical Indications, and even wants to </w:t>
            </w:r>
            <w:proofErr w:type="spellStart"/>
            <w:r w:rsidRPr="00336C06">
              <w:rPr>
                <w:rFonts w:ascii="Arial" w:hAnsi="Arial" w:cs="Arial"/>
                <w:color w:val="6C6361"/>
                <w:sz w:val="24"/>
                <w:szCs w:val="24"/>
              </w:rPr>
              <w:t>clawback</w:t>
            </w:r>
            <w:proofErr w:type="spellEnd"/>
            <w:r w:rsidRPr="00336C06">
              <w:rPr>
                <w:rFonts w:ascii="Arial" w:hAnsi="Arial" w:cs="Arial"/>
                <w:color w:val="6C6361"/>
                <w:sz w:val="24"/>
                <w:szCs w:val="24"/>
              </w:rPr>
              <w:t xml:space="preserve"> geographical names that have become generic, in the name of authenticity and rural development.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336C06">
              <w:rPr>
                <w:rFonts w:ascii="Arial" w:hAnsi="Arial" w:cs="Arial"/>
                <w:color w:val="6C6361"/>
                <w:sz w:val="24"/>
                <w:szCs w:val="24"/>
              </w:rPr>
              <w:t xml:space="preserve">The U.S., Australia, New Zealand, South Africa and some South American countries (New World) want to protect geographical names via the existing trademark system which leaves more room for innovation.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336C06">
              <w:rPr>
                <w:rFonts w:ascii="Arial" w:hAnsi="Arial" w:cs="Arial"/>
                <w:color w:val="6C6361"/>
                <w:sz w:val="24"/>
                <w:szCs w:val="24"/>
              </w:rPr>
              <w:t>Both the Old and New World cl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ash in China, where there is a “gold rush”</w:t>
            </w:r>
            <w:r w:rsidRPr="00336C06">
              <w:rPr>
                <w:rFonts w:ascii="Arial" w:hAnsi="Arial" w:cs="Arial"/>
                <w:color w:val="6C6361"/>
                <w:sz w:val="24"/>
                <w:szCs w:val="24"/>
              </w:rPr>
              <w:t xml:space="preserve"> to export as much wine as possible.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336C06">
              <w:rPr>
                <w:rFonts w:ascii="Arial" w:hAnsi="Arial" w:cs="Arial"/>
                <w:color w:val="6C6361"/>
                <w:sz w:val="24"/>
                <w:szCs w:val="24"/>
              </w:rPr>
              <w:t>This two hour course is looking at the approaches of the protection of geographical names in the respective systems and on the strategies the vintners use t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o exclude each other in China.</w:t>
            </w:r>
          </w:p>
        </w:tc>
      </w:tr>
      <w:tr w:rsidR="004C41B6" w:rsidRPr="00390282" w:rsidTr="003E26FF">
        <w:trPr>
          <w:trHeight w:val="454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4C41B6" w:rsidRPr="00390282" w:rsidRDefault="004C41B6" w:rsidP="003E26FF">
            <w:pPr>
              <w:rPr>
                <w:rFonts w:ascii="Arial" w:hAnsi="Arial" w:cs="Arial"/>
                <w:b/>
                <w:color w:val="524B48"/>
                <w:sz w:val="24"/>
                <w:szCs w:val="24"/>
              </w:rPr>
            </w:pPr>
            <w:r w:rsidRPr="00336C06">
              <w:rPr>
                <w:rFonts w:ascii="Arial" w:hAnsi="Arial" w:cs="Arial"/>
                <w:b/>
                <w:color w:val="524B48"/>
                <w:sz w:val="24"/>
                <w:szCs w:val="24"/>
              </w:rPr>
              <w:t>This course will cover the followings:</w:t>
            </w:r>
          </w:p>
        </w:tc>
      </w:tr>
      <w:tr w:rsidR="004C41B6" w:rsidRPr="00390282" w:rsidTr="003E26FF">
        <w:trPr>
          <w:trHeight w:val="4223"/>
          <w:jc w:val="center"/>
        </w:trPr>
        <w:tc>
          <w:tcPr>
            <w:tcW w:w="9045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4C41B6" w:rsidRPr="00336C06" w:rsidRDefault="004C41B6" w:rsidP="003E26F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36C06">
              <w:rPr>
                <w:rFonts w:ascii="Arial" w:hAnsi="Arial" w:cs="Arial"/>
                <w:color w:val="6C6361"/>
                <w:sz w:val="24"/>
                <w:szCs w:val="24"/>
              </w:rPr>
              <w:t>Introduction into the concept of Geographical Indications</w:t>
            </w:r>
          </w:p>
          <w:p w:rsidR="004C41B6" w:rsidRPr="00336C06" w:rsidRDefault="004C41B6" w:rsidP="003E26F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36C06">
              <w:rPr>
                <w:rFonts w:ascii="Arial" w:hAnsi="Arial" w:cs="Arial"/>
                <w:color w:val="6C6361"/>
                <w:sz w:val="24"/>
                <w:szCs w:val="24"/>
              </w:rPr>
              <w:t>Old World 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pproach: Appellations of Origin</w:t>
            </w:r>
          </w:p>
          <w:p w:rsidR="004C41B6" w:rsidRPr="00336C06" w:rsidRDefault="004C41B6" w:rsidP="003E26F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36C06">
              <w:rPr>
                <w:rFonts w:ascii="Arial" w:hAnsi="Arial" w:cs="Arial"/>
                <w:color w:val="6C6361"/>
                <w:sz w:val="24"/>
                <w:szCs w:val="24"/>
              </w:rPr>
              <w:t>New World approach: Protection of Geographical Indications via Trademarks</w:t>
            </w:r>
          </w:p>
          <w:p w:rsidR="004C41B6" w:rsidRPr="00336C06" w:rsidRDefault="004C41B6" w:rsidP="003E26F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Lisbon </w:t>
            </w:r>
            <w:r w:rsidRPr="00DD5C50">
              <w:rPr>
                <w:rFonts w:ascii="Arial" w:hAnsi="Arial" w:cs="Arial"/>
                <w:color w:val="6C6361"/>
                <w:sz w:val="24"/>
                <w:szCs w:val="24"/>
              </w:rPr>
              <w:t>Agreement</w:t>
            </w:r>
          </w:p>
          <w:p w:rsidR="004C41B6" w:rsidRPr="00336C06" w:rsidRDefault="004C41B6" w:rsidP="003E26F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36C06">
              <w:rPr>
                <w:rFonts w:ascii="Arial" w:hAnsi="Arial" w:cs="Arial"/>
                <w:color w:val="6C6361"/>
                <w:sz w:val="24"/>
                <w:szCs w:val="24"/>
              </w:rPr>
              <w:t>EU’s PDO/PGI system</w:t>
            </w:r>
          </w:p>
          <w:p w:rsidR="004C41B6" w:rsidRPr="00336C06" w:rsidRDefault="004C41B6" w:rsidP="003E26F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36C06">
              <w:rPr>
                <w:rFonts w:ascii="Arial" w:hAnsi="Arial" w:cs="Arial"/>
                <w:color w:val="6C6361"/>
                <w:sz w:val="24"/>
                <w:szCs w:val="24"/>
              </w:rPr>
              <w:t>TRIPS GI provisions</w:t>
            </w:r>
          </w:p>
          <w:p w:rsidR="004C41B6" w:rsidRPr="00336C06" w:rsidRDefault="004C41B6" w:rsidP="003E26F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36C06">
              <w:rPr>
                <w:rFonts w:ascii="Arial" w:hAnsi="Arial" w:cs="Arial"/>
                <w:color w:val="6C6361"/>
                <w:sz w:val="24"/>
                <w:szCs w:val="24"/>
              </w:rPr>
              <w:t>Geneva Act of the Lisbon Agreement</w:t>
            </w:r>
          </w:p>
          <w:p w:rsidR="004C41B6" w:rsidRPr="00336C06" w:rsidRDefault="004C41B6" w:rsidP="003E26F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36C06">
              <w:rPr>
                <w:rFonts w:ascii="Arial" w:hAnsi="Arial" w:cs="Arial"/>
                <w:color w:val="6C6361"/>
                <w:sz w:val="24"/>
                <w:szCs w:val="24"/>
              </w:rPr>
              <w:t>China’s GI system</w:t>
            </w:r>
          </w:p>
          <w:p w:rsidR="004C41B6" w:rsidRPr="00336C06" w:rsidRDefault="004C41B6" w:rsidP="003E26F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EU -</w:t>
            </w:r>
            <w:r w:rsidRPr="00336C06">
              <w:rPr>
                <w:rFonts w:ascii="Arial" w:hAnsi="Arial" w:cs="Arial"/>
                <w:color w:val="6C6361"/>
                <w:sz w:val="24"/>
                <w:szCs w:val="24"/>
              </w:rPr>
              <w:t xml:space="preserve"> China Bilateral Agreement</w:t>
            </w:r>
          </w:p>
          <w:p w:rsidR="004C41B6" w:rsidRPr="00336C06" w:rsidRDefault="004C41B6" w:rsidP="003E26F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36C06">
              <w:rPr>
                <w:rFonts w:ascii="Arial" w:hAnsi="Arial" w:cs="Arial"/>
                <w:color w:val="6C6361"/>
                <w:sz w:val="24"/>
                <w:szCs w:val="24"/>
              </w:rPr>
              <w:t>Prosecco as a case study</w:t>
            </w:r>
          </w:p>
          <w:p w:rsidR="004C41B6" w:rsidRPr="00336C06" w:rsidRDefault="004C41B6" w:rsidP="003E26F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36C06">
              <w:rPr>
                <w:rFonts w:ascii="Arial" w:hAnsi="Arial" w:cs="Arial"/>
                <w:color w:val="6C6361"/>
                <w:sz w:val="24"/>
                <w:szCs w:val="24"/>
              </w:rPr>
              <w:t>Napa Valley v Screw Kappa Napa</w:t>
            </w:r>
          </w:p>
          <w:p w:rsidR="004C41B6" w:rsidRDefault="004C41B6" w:rsidP="003E26F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36C06">
              <w:rPr>
                <w:rFonts w:ascii="Arial" w:hAnsi="Arial" w:cs="Arial"/>
                <w:color w:val="6C6361"/>
                <w:sz w:val="24"/>
                <w:szCs w:val="24"/>
              </w:rPr>
              <w:t>World Heritage Site: Champagne’s strategy</w:t>
            </w:r>
          </w:p>
          <w:p w:rsidR="004C41B6" w:rsidRPr="00336C06" w:rsidRDefault="004C41B6" w:rsidP="003E26F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076822">
              <w:rPr>
                <w:rFonts w:ascii="Arial" w:hAnsi="Arial" w:cs="Arial"/>
                <w:color w:val="6C6361"/>
                <w:sz w:val="24"/>
                <w:szCs w:val="24"/>
              </w:rPr>
              <w:t>Using certification and collective marks to protect Geographical Indications</w:t>
            </w:r>
          </w:p>
          <w:p w:rsidR="004C41B6" w:rsidRPr="00C15038" w:rsidRDefault="004C41B6" w:rsidP="003E26F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336C06">
              <w:rPr>
                <w:rFonts w:ascii="Arial" w:hAnsi="Arial" w:cs="Arial"/>
                <w:color w:val="6C6361"/>
                <w:sz w:val="24"/>
                <w:szCs w:val="24"/>
              </w:rPr>
              <w:t>Conclusions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4C41B6" w:rsidRDefault="004C41B6" w:rsidP="003E26FF">
            <w:pPr>
              <w:jc w:val="center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</w:p>
          <w:p w:rsidR="004C41B6" w:rsidRDefault="004C41B6" w:rsidP="003E26FF">
            <w:pPr>
              <w:jc w:val="center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</w:p>
          <w:p w:rsidR="004C41B6" w:rsidRDefault="004C41B6" w:rsidP="003E26FF">
            <w:pPr>
              <w:jc w:val="center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</w:p>
          <w:p w:rsidR="004C41B6" w:rsidRDefault="004C41B6" w:rsidP="003E26FF">
            <w:pPr>
              <w:jc w:val="center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</w:p>
          <w:p w:rsidR="004C41B6" w:rsidRDefault="004C41B6" w:rsidP="003E26FF">
            <w:pPr>
              <w:jc w:val="center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</w:p>
          <w:p w:rsidR="004C41B6" w:rsidRDefault="004C41B6" w:rsidP="003E26FF">
            <w:pPr>
              <w:jc w:val="center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</w:p>
          <w:p w:rsidR="004C41B6" w:rsidRDefault="004C41B6" w:rsidP="003E26FF">
            <w:pPr>
              <w:jc w:val="center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</w:p>
          <w:p w:rsidR="004C41B6" w:rsidRDefault="004C41B6" w:rsidP="003E26FF">
            <w:pPr>
              <w:jc w:val="center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</w:p>
          <w:p w:rsidR="004C41B6" w:rsidRPr="00AB08F5" w:rsidRDefault="004C41B6" w:rsidP="003E26FF">
            <w:pPr>
              <w:jc w:val="center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930A26">
              <w:rPr>
                <w:rFonts w:ascii="Arial" w:hAnsi="Arial" w:cs="Arial"/>
                <w:b/>
                <w:noProof/>
                <w:color w:val="6C6361"/>
                <w:sz w:val="24"/>
                <w:szCs w:val="24"/>
              </w:rPr>
              <w:drawing>
                <wp:inline distT="0" distB="0" distL="0" distR="0" wp14:anchorId="5C2621A5" wp14:editId="3DE59ABF">
                  <wp:extent cx="892800" cy="1018800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0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1B6" w:rsidRPr="00390282" w:rsidTr="003E26FF">
        <w:trPr>
          <w:trHeight w:val="454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4C41B6" w:rsidRPr="00390282" w:rsidRDefault="004C41B6" w:rsidP="003E26FF">
            <w:pPr>
              <w:rPr>
                <w:rFonts w:ascii="Arial" w:hAnsi="Arial" w:cs="Arial"/>
                <w:b/>
                <w:color w:val="524B48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524B48"/>
                <w:sz w:val="24"/>
                <w:szCs w:val="24"/>
              </w:rPr>
              <w:t>Further readings</w:t>
            </w:r>
            <w:r w:rsidRPr="00336C06">
              <w:rPr>
                <w:rFonts w:ascii="Arial" w:hAnsi="Arial" w:cs="Arial"/>
                <w:b/>
                <w:color w:val="524B48"/>
                <w:sz w:val="24"/>
                <w:szCs w:val="24"/>
              </w:rPr>
              <w:t>:</w:t>
            </w:r>
          </w:p>
        </w:tc>
      </w:tr>
      <w:tr w:rsidR="004C41B6" w:rsidRPr="00390282" w:rsidTr="003E26FF">
        <w:trPr>
          <w:trHeight w:val="954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41B6" w:rsidRPr="00DD5C50" w:rsidRDefault="004C41B6" w:rsidP="003E26F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hyperlink r:id="rId15" w:history="1">
              <w:r w:rsidRPr="00DD5C50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Clash of the Old and the New World of Wine in China: A Case Study of Competition, Innovation and Prosecco</w:t>
              </w:r>
            </w:hyperlink>
          </w:p>
        </w:tc>
      </w:tr>
    </w:tbl>
    <w:p w:rsidR="00071B18" w:rsidRDefault="00071B18" w:rsidP="00071B18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1"/>
        <w:gridCol w:w="1274"/>
      </w:tblGrid>
      <w:tr w:rsidR="004C41B6" w:rsidRPr="00320F79" w:rsidTr="00814A11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4C41B6" w:rsidRPr="00320F79" w:rsidRDefault="004C41B6" w:rsidP="004C41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4C41B6" w:rsidRPr="00320F79" w:rsidRDefault="004C41B6" w:rsidP="004C41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EVT000000206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4C41B6" w:rsidRPr="00320F79" w:rsidRDefault="004C41B6" w:rsidP="004C41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4C41B6" w:rsidRPr="00320F79" w:rsidRDefault="004C41B6" w:rsidP="004C41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4C41B6" w:rsidRPr="00320F79" w:rsidTr="00814A11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4C41B6" w:rsidRPr="00320F79" w:rsidRDefault="004C41B6" w:rsidP="004C41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4C41B6" w:rsidRDefault="004C41B6" w:rsidP="004C41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8 December 2017 (Friday)</w:t>
            </w:r>
          </w:p>
          <w:p w:rsidR="004C41B6" w:rsidRPr="00320F79" w:rsidRDefault="004C41B6" w:rsidP="004C41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(Amended)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4C41B6" w:rsidRPr="00320F79" w:rsidRDefault="004C41B6" w:rsidP="004C41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4C41B6" w:rsidRPr="00320F79" w:rsidRDefault="004C41B6" w:rsidP="004C41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4C41B6" w:rsidRPr="00320F79" w:rsidTr="00814A11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4C41B6" w:rsidRPr="00320F79" w:rsidRDefault="004C41B6" w:rsidP="004C41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4C41B6" w:rsidRPr="00320F79" w:rsidRDefault="004C41B6" w:rsidP="004C41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10:0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2:10</w:t>
            </w:r>
          </w:p>
          <w:p w:rsidR="004C41B6" w:rsidRPr="00320F79" w:rsidRDefault="004C41B6" w:rsidP="004C41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09:3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4C41B6" w:rsidRPr="00320F79" w:rsidRDefault="004C41B6" w:rsidP="004C41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4C41B6" w:rsidRPr="00B745DB" w:rsidRDefault="004C41B6" w:rsidP="004C41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2.0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</w:tc>
      </w:tr>
      <w:tr w:rsidR="00071B18" w:rsidRPr="00320F79" w:rsidTr="00814A11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071B18" w:rsidRPr="00320F79" w:rsidRDefault="00071B18" w:rsidP="00814A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071B18" w:rsidRPr="00320F79" w:rsidRDefault="00071B18" w:rsidP="00814A11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071B18" w:rsidRPr="00320F79" w:rsidRDefault="00071B18" w:rsidP="00814A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071B18" w:rsidRPr="00320F79" w:rsidRDefault="00071B18" w:rsidP="00814A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071B18" w:rsidRPr="00320F79" w:rsidRDefault="00071B18" w:rsidP="00814A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071B18" w:rsidRDefault="00071B18" w:rsidP="00814A11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071B18" w:rsidRDefault="00071B18" w:rsidP="00814A11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071B18" w:rsidRPr="00320F79" w:rsidRDefault="00071B18" w:rsidP="00814A11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6445C271" wp14:editId="6341529F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B18" w:rsidRPr="00E2201B" w:rsidRDefault="00071B18" w:rsidP="00814A11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071B18" w:rsidRPr="003A2A41" w:rsidRDefault="00071B18" w:rsidP="00814A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071B18" w:rsidRPr="003A2A41" w:rsidRDefault="00071B18" w:rsidP="00814A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1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071B18" w:rsidRPr="003A2A41" w:rsidRDefault="00071B18" w:rsidP="00814A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8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071B18" w:rsidRPr="003A2A41" w:rsidRDefault="00071B18" w:rsidP="00814A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71B18" w:rsidRPr="00156567" w:rsidRDefault="00071B18" w:rsidP="00814A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5C0B9B57" wp14:editId="445342EE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071B18" w:rsidRDefault="00214BC6" w:rsidP="00071B18"/>
    <w:sectPr w:rsidR="00214BC6" w:rsidRPr="00071B18" w:rsidSect="000F34E0">
      <w:headerReference w:type="default" r:id="rId20"/>
      <w:footerReference w:type="default" r:id="rId21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109" w:rsidRDefault="005F0109" w:rsidP="00546556">
      <w:r>
        <w:separator/>
      </w:r>
    </w:p>
  </w:endnote>
  <w:endnote w:type="continuationSeparator" w:id="0">
    <w:p w:rsidR="005F0109" w:rsidRDefault="005F0109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109" w:rsidRDefault="005F0109" w:rsidP="00546556">
      <w:r>
        <w:separator/>
      </w:r>
    </w:p>
  </w:footnote>
  <w:footnote w:type="continuationSeparator" w:id="0">
    <w:p w:rsidR="005F0109" w:rsidRDefault="005F0109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2"/>
  </w:num>
  <w:num w:numId="5">
    <w:abstractNumId w:val="4"/>
  </w:num>
  <w:num w:numId="6">
    <w:abstractNumId w:val="13"/>
  </w:num>
  <w:num w:numId="7">
    <w:abstractNumId w:val="3"/>
  </w:num>
  <w:num w:numId="8">
    <w:abstractNumId w:val="14"/>
  </w:num>
  <w:num w:numId="9">
    <w:abstractNumId w:val="15"/>
  </w:num>
  <w:num w:numId="10">
    <w:abstractNumId w:val="10"/>
  </w:num>
  <w:num w:numId="11">
    <w:abstractNumId w:val="0"/>
  </w:num>
  <w:num w:numId="12">
    <w:abstractNumId w:val="7"/>
  </w:num>
  <w:num w:numId="13">
    <w:abstractNumId w:val="11"/>
  </w:num>
  <w:num w:numId="14">
    <w:abstractNumId w:val="6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K7dmLkiO21V66zLxC7Wm/qFF5lpvnG655NtV+qL376Dgn9Nrm5tqFs0sR6efDWLEZH+XvR+pbOhQCj/3xagHYQ==" w:salt="Tu16LAMBTK7GE+PNpoom/A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1B18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1AD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1A4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363B0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77B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A7B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1B6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109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695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5424"/>
    <w:rsid w:val="00DB0C1E"/>
    <w:rsid w:val="00DB23E0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65B5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09638/" TargetMode="External"/><Relationship Id="rId13" Type="http://schemas.openxmlformats.org/officeDocument/2006/relationships/image" Target="media/image3.jpg"/><Relationship Id="rId18" Type="http://schemas.openxmlformats.org/officeDocument/2006/relationships/hyperlink" Target="mailto:marketing@profectional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hyperlink" Target="http://goo.gl/maps/DKYQ1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yperlink" Target="http://blogs.adelaide.edu.au/eucentre/2017/09/22/clash-of-the-old-and-the-new-world-of-wine-in-china-a-case-study-of-competition-innovation-and-prosecco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cpd.hk/evt000000206/" TargetMode="Externa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yperlink" Target="http://www.ipdragon.org/" TargetMode="Externa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05222-9EC5-4FA1-A731-28150350B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Trade Mark Challenges and Opportunities in Times of Social Media and Non-Conventional Marks</vt:lpstr>
    </vt:vector>
  </TitlesOfParts>
  <Manager>Tyrone Tsang</Manager>
  <Company>The Profectional Company Limited</Company>
  <LinksUpToDate>false</LinksUpToDate>
  <CharactersWithSpaces>3700</CharactersWithSpaces>
  <SharedDoc>false</SharedDoc>
  <HyperlinkBase>http://download.profectional.com/events/EVT000000206.docx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Geographical Indications and the Protection of Wine on the Battleground of China</dc:title>
  <dc:subject>CPD Course: Geographical Indications and the Protection of Wine on the Battleground of China</dc:subject>
  <dc:creator>The Profectional Company Limited</dc:creator>
  <cp:keywords>Profectional; Kornerstone; CPD; CPT; CLE; CE; RME; Danny Friedmann; Author; Trademarks and Social Media; Founder; Editor; IP Dragon</cp:keywords>
  <cp:lastModifiedBy>Tyrone Tsang</cp:lastModifiedBy>
  <cp:revision>13</cp:revision>
  <cp:lastPrinted>2017-12-07T06:37:00Z</cp:lastPrinted>
  <dcterms:created xsi:type="dcterms:W3CDTF">2015-05-28T16:24:00Z</dcterms:created>
  <dcterms:modified xsi:type="dcterms:W3CDTF">2017-12-07T06:38:00Z</dcterms:modified>
</cp:coreProperties>
</file>