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A17" w:rsidRPr="00F51A17" w:rsidRDefault="00F51A17" w:rsidP="00F51A17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F51A17" w:rsidRPr="00523A64" w:rsidTr="00E013D6">
        <w:trPr>
          <w:trHeight w:val="3119"/>
          <w:jc w:val="center"/>
        </w:trPr>
        <w:tc>
          <w:tcPr>
            <w:tcW w:w="4797" w:type="dxa"/>
            <w:shd w:val="clear" w:color="auto" w:fill="FFFFFF"/>
            <w:vAlign w:val="center"/>
          </w:tcPr>
          <w:p w:rsidR="00F51A17" w:rsidRPr="001A3018" w:rsidRDefault="00F51A17" w:rsidP="00E013D6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F51A17" w:rsidRPr="00AD645C" w:rsidRDefault="00F51A17" w:rsidP="00E013D6">
            <w:pPr>
              <w:jc w:val="center"/>
              <w:rPr>
                <w:rFonts w:ascii="Arial" w:hAnsi="Arial" w:cs="Arial"/>
                <w:b/>
                <w:bCs/>
                <w:color w:val="524B48"/>
                <w:sz w:val="8"/>
                <w:szCs w:val="8"/>
              </w:rPr>
            </w:pPr>
          </w:p>
          <w:p w:rsidR="00F51A17" w:rsidRDefault="00F51A17" w:rsidP="00E013D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instrText>HYPERLINK "http://cpd.hk/evt000000207/"</w:instrText>
            </w: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Admissions,</w:t>
            </w:r>
          </w:p>
          <w:p w:rsidR="00F51A17" w:rsidRDefault="00F51A17" w:rsidP="00E013D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Without Prejudice Privilege</w:t>
            </w:r>
          </w:p>
          <w:p w:rsidR="00F51A17" w:rsidRDefault="00F51A17" w:rsidP="00E013D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and the</w:t>
            </w:r>
          </w:p>
          <w:p w:rsidR="00F51A17" w:rsidRPr="00B8559C" w:rsidRDefault="00F51A17" w:rsidP="00E013D6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9B6D43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Apology Ordinance</w:t>
            </w:r>
          </w:p>
          <w:p w:rsidR="00F51A17" w:rsidRPr="00C65AFD" w:rsidRDefault="00F51A17" w:rsidP="00E013D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8559C"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  <w:fldChar w:fldCharType="end"/>
            </w:r>
          </w:p>
          <w:p w:rsidR="00F51A17" w:rsidRPr="00C65AFD" w:rsidRDefault="00F51A17" w:rsidP="00E013D6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F51A17" w:rsidRPr="00C65AFD" w:rsidRDefault="00F51A17" w:rsidP="00E013D6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8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Gary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Meggitt</w:t>
              </w:r>
              <w:proofErr w:type="spellEnd"/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MA (Oxon), MPhil (HKU), ACII, </w:t>
            </w:r>
            <w:proofErr w:type="spellStart"/>
            <w:r>
              <w:rPr>
                <w:rFonts w:ascii="Arial" w:hAnsi="Arial" w:cs="Arial"/>
                <w:color w:val="6C6361"/>
                <w:sz w:val="24"/>
                <w:szCs w:val="24"/>
              </w:rPr>
              <w:t>MCIArb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Solici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tor Advocate (England &amp; Wales),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 (Lincoln's Inn),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Mediator </w:t>
            </w: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 xml:space="preserve">(CEDR 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Accredited),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Assoc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iate Professor, Faculty of Law,</w:t>
            </w:r>
          </w:p>
          <w:p w:rsidR="00F51A17" w:rsidRPr="003974E9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Director, Asian Institute</w:t>
            </w:r>
          </w:p>
          <w:p w:rsidR="00F51A17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3974E9">
              <w:rPr>
                <w:rFonts w:ascii="Arial" w:hAnsi="Arial" w:cs="Arial"/>
                <w:color w:val="6C6361"/>
                <w:sz w:val="24"/>
                <w:szCs w:val="24"/>
              </w:rPr>
              <w:t>of International Financial Law (AIIFL),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 xml:space="preserve"> </w:t>
            </w:r>
          </w:p>
          <w:p w:rsidR="00F51A17" w:rsidRPr="00C65AFD" w:rsidRDefault="00F51A17" w:rsidP="00E013D6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The University of Hong Kong</w:t>
            </w:r>
          </w:p>
          <w:p w:rsidR="00F51A17" w:rsidRPr="00AD645C" w:rsidRDefault="00F51A17" w:rsidP="00E013D6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76" w:type="dxa"/>
            <w:shd w:val="clear" w:color="auto" w:fill="FFFFFF"/>
            <w:vAlign w:val="center"/>
          </w:tcPr>
          <w:p w:rsidR="00F51A17" w:rsidRPr="00D50772" w:rsidRDefault="00F51A17" w:rsidP="00E013D6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DC825DA" wp14:editId="12610612">
                  <wp:simplePos x="0" y="0"/>
                  <wp:positionH relativeFrom="column">
                    <wp:posOffset>3174365</wp:posOffset>
                  </wp:positionH>
                  <wp:positionV relativeFrom="paragraph">
                    <wp:posOffset>-488950</wp:posOffset>
                  </wp:positionV>
                  <wp:extent cx="539750" cy="546735"/>
                  <wp:effectExtent l="0" t="0" r="0" b="5715"/>
                  <wp:wrapNone/>
                  <wp:docPr id="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9E8">
              <w:rPr>
                <w:rFonts w:ascii="Arial" w:eastAsia="Times New Roman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2F32AD44" wp14:editId="462DE38B">
                  <wp:extent cx="3657600" cy="1828800"/>
                  <wp:effectExtent l="0" t="0" r="0" b="0"/>
                  <wp:docPr id="26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A17" w:rsidRPr="00EE28ED" w:rsidRDefault="00F51A17" w:rsidP="00F51A17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F51A17" w:rsidRPr="007550DB" w:rsidTr="00E013D6">
        <w:trPr>
          <w:trHeight w:val="34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F51A17" w:rsidRPr="007550DB" w:rsidRDefault="00F51A17" w:rsidP="00E013D6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550DB"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697F1D2A" wp14:editId="4C8ED403">
                  <wp:extent cx="1080135" cy="1440180"/>
                  <wp:effectExtent l="0" t="0" r="5715" b="7620"/>
                  <wp:docPr id="27" name="Picture 2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F51A17" w:rsidRPr="007550DB" w:rsidRDefault="00F51A17" w:rsidP="00F51A1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an Associate Professor in the Faculty of Law as well as the Director of the Asian Institute of International Financial Law (AIIFL) at the University of Hong Kong.  He qualified as a solicitor in 1993 and practiced insurance litigation with several leading UK firms.  He was also subsequently Called to the Bar in England.</w:t>
            </w:r>
          </w:p>
          <w:p w:rsidR="00F51A17" w:rsidRPr="007550DB" w:rsidRDefault="00F51A17" w:rsidP="00F51A1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10"/>
                <w:szCs w:val="10"/>
              </w:rPr>
            </w:pPr>
          </w:p>
          <w:p w:rsidR="00F51A17" w:rsidRPr="007550DB" w:rsidRDefault="00F51A17" w:rsidP="00F51A17">
            <w:pPr>
              <w:pStyle w:val="NormalWeb"/>
              <w:contextualSpacing/>
              <w:jc w:val="both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teaches civil litigation, commercial disputes resolution and professional practice &amp; management on the PCLL.  He also teaches insurance law on the Faculty's LLM and JD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programmes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.  He is a contributing author to 'A Guide to Civil Procedure in Hong Kong' (2015, LexisNexis), edited 'Civil Justice Reform - What has it achieved?' (2010, Sweet &amp; Maxwell) and the author of ‘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Halsbury’s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Laws of Hong Kong, Vol.37 - Limitation of Actions’ (2015).  Mr. </w:t>
            </w:r>
            <w:proofErr w:type="spellStart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>Meggitt</w:t>
            </w:r>
            <w:proofErr w:type="spellEnd"/>
            <w:r w:rsidRPr="007550DB">
              <w:rPr>
                <w:rFonts w:ascii="Arial" w:hAnsi="Arial" w:cs="Arial"/>
                <w:color w:val="6C6361"/>
                <w:sz w:val="21"/>
                <w:szCs w:val="21"/>
              </w:rPr>
              <w:t xml:space="preserve"> is a member of the Hong Kong Law Society's Insurance Law Committee and its Working Party on Litigation Funding.  He is also a member of the Examining Panel of the Higher Rights Assessment Board and a member of the Insurance Authority’s Future Task Force.</w:t>
            </w:r>
          </w:p>
        </w:tc>
      </w:tr>
    </w:tbl>
    <w:p w:rsidR="00F51A17" w:rsidRPr="00EE28ED" w:rsidRDefault="00F51A17" w:rsidP="00F51A17">
      <w:pPr>
        <w:spacing w:line="276" w:lineRule="auto"/>
        <w:jc w:val="left"/>
        <w:rPr>
          <w:rFonts w:ascii="Arial" w:hAnsi="Arial" w:cs="Arial"/>
          <w:sz w:val="18"/>
          <w:szCs w:val="20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5387"/>
        <w:gridCol w:w="3632"/>
        <w:gridCol w:w="1754"/>
      </w:tblGrid>
      <w:tr w:rsidR="00F51A17" w:rsidRPr="007550DB" w:rsidTr="00E013D6">
        <w:trPr>
          <w:trHeight w:val="340"/>
          <w:jc w:val="center"/>
        </w:trPr>
        <w:tc>
          <w:tcPr>
            <w:tcW w:w="9019" w:type="dxa"/>
            <w:gridSpan w:val="2"/>
            <w:tcBorders>
              <w:top w:val="nil"/>
              <w:bottom w:val="nil"/>
              <w:right w:val="nil"/>
            </w:tcBorders>
            <w:shd w:val="clear" w:color="auto" w:fill="F0EBE1"/>
            <w:vAlign w:val="center"/>
          </w:tcPr>
          <w:p w:rsidR="00F51A17" w:rsidRPr="007550DB" w:rsidRDefault="00F51A17" w:rsidP="00E013D6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7550DB">
              <w:rPr>
                <w:rFonts w:ascii="Arial" w:hAnsi="Arial" w:cs="Arial"/>
                <w:b/>
                <w:color w:val="524B48"/>
                <w:sz w:val="21"/>
                <w:szCs w:val="21"/>
              </w:rPr>
              <w:t>This course covers: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F51A17" w:rsidRPr="007550DB" w:rsidRDefault="00F51A17" w:rsidP="00E013D6">
            <w:pPr>
              <w:rPr>
                <w:rFonts w:ascii="Arial" w:hAnsi="Arial" w:cs="Arial"/>
                <w:b/>
                <w:color w:val="524B48"/>
                <w:sz w:val="21"/>
                <w:szCs w:val="21"/>
              </w:rPr>
            </w:pPr>
            <w:r w:rsidRPr="00CF4C33">
              <w:rPr>
                <w:rFonts w:ascii="Arial" w:hAnsi="Arial" w:cs="Arial" w:hint="eastAsia"/>
                <w:noProof/>
                <w:color w:val="6C6361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 wp14:anchorId="1E684551" wp14:editId="2138002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98425</wp:posOffset>
                  </wp:positionV>
                  <wp:extent cx="892175" cy="1018540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1A17" w:rsidRPr="007550DB" w:rsidTr="00E013D6">
        <w:trPr>
          <w:trHeight w:val="1959"/>
          <w:jc w:val="center"/>
        </w:trPr>
        <w:tc>
          <w:tcPr>
            <w:tcW w:w="5387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/>
                <w:color w:val="6C6361"/>
                <w:sz w:val="21"/>
                <w:szCs w:val="21"/>
              </w:rPr>
              <w:t>Admissions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Making admissions in pleadings or otherwise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Notices to admit facts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Judgment on admissions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Without prejudice privilege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theory of 'Without Prejudice' privilege</w:t>
            </w:r>
          </w:p>
        </w:tc>
        <w:tc>
          <w:tcPr>
            <w:tcW w:w="5386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Scope of the privilege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Exceptions and waiver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Apology Ordinance</w:t>
            </w:r>
            <w:r>
              <w:rPr>
                <w:rFonts w:ascii="Arial" w:hAnsi="Arial" w:cs="Arial"/>
                <w:color w:val="6C6361"/>
                <w:sz w:val="21"/>
                <w:szCs w:val="21"/>
              </w:rPr>
              <w:t xml:space="preserve"> (Cap.631)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Legislation in other jurisdictions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objectives of the legislation</w:t>
            </w:r>
          </w:p>
          <w:p w:rsidR="00F51A17" w:rsidRPr="009B6D43" w:rsidRDefault="00F51A17" w:rsidP="00E013D6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1"/>
                <w:szCs w:val="21"/>
              </w:rPr>
            </w:pPr>
            <w:r w:rsidRPr="009B6D43">
              <w:rPr>
                <w:rFonts w:ascii="Arial" w:hAnsi="Arial" w:cs="Arial" w:hint="eastAsia"/>
                <w:color w:val="6C6361"/>
                <w:sz w:val="21"/>
                <w:szCs w:val="21"/>
              </w:rPr>
              <w:t>The contents and consequences of the Ordinance</w:t>
            </w:r>
          </w:p>
        </w:tc>
      </w:tr>
    </w:tbl>
    <w:p w:rsidR="00F51A17" w:rsidRPr="00EE28ED" w:rsidRDefault="00F51A17" w:rsidP="00F51A17">
      <w:pPr>
        <w:spacing w:line="276" w:lineRule="auto"/>
        <w:rPr>
          <w:rFonts w:ascii="Arial" w:hAnsi="Arial" w:cs="Arial"/>
          <w:sz w:val="18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45"/>
        <w:gridCol w:w="1240"/>
      </w:tblGrid>
      <w:tr w:rsidR="00F51A17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EVT000000207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F51A17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51A17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 February 2018 (Wednesday)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(Amended)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F51A17" w:rsidRPr="00320F79" w:rsidTr="00E013D6">
        <w:trPr>
          <w:trHeight w:val="340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7:45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(Reception starts at 14:0</w:t>
            </w:r>
            <w:r w:rsidRPr="00320F79">
              <w:rPr>
                <w:rFonts w:ascii="Arial" w:hAnsi="Arial" w:cs="Arial"/>
                <w:color w:val="6C6361"/>
                <w:sz w:val="20"/>
                <w:szCs w:val="20"/>
              </w:rPr>
              <w:t>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F51A17" w:rsidRPr="00B745D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3.0 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</w:tc>
      </w:tr>
      <w:tr w:rsidR="00F51A17" w:rsidRPr="00320F79" w:rsidTr="00E013D6">
        <w:trPr>
          <w:trHeight w:val="124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20F79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320F79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F51A17" w:rsidRPr="00320F79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320F79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F51A17" w:rsidRPr="00320F79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320F79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7C6BB0AF" wp14:editId="4A6630D2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A17" w:rsidRPr="00E2201B" w:rsidRDefault="00F51A17" w:rsidP="00E013D6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45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AD1A4E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F51A17" w:rsidRPr="00AD1A4E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AD1A4E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40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A17" w:rsidRPr="001C1D8B" w:rsidRDefault="00F51A17" w:rsidP="00E013D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</w:pPr>
            <w:r w:rsidRPr="001C1D8B">
              <w:rPr>
                <w:rFonts w:ascii="Arial" w:eastAsia="Times New Roman" w:hAnsi="Arial" w:cs="Arial"/>
                <w:b/>
                <w:noProof/>
                <w:color w:val="6C6361"/>
                <w:sz w:val="21"/>
                <w:szCs w:val="21"/>
              </w:rPr>
              <w:drawing>
                <wp:inline distT="0" distB="0" distL="0" distR="0" wp14:anchorId="4D6BBCE2" wp14:editId="393A06B7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F51A17" w:rsidRDefault="00214BC6" w:rsidP="00F51A17">
      <w:pPr>
        <w:rPr>
          <w:sz w:val="2"/>
          <w:szCs w:val="2"/>
        </w:rPr>
      </w:pPr>
    </w:p>
    <w:sectPr w:rsidR="00214BC6" w:rsidRPr="00F51A17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656" w:rsidRDefault="00FE0656" w:rsidP="00546556">
      <w:r>
        <w:separator/>
      </w:r>
    </w:p>
  </w:endnote>
  <w:endnote w:type="continuationSeparator" w:id="0">
    <w:p w:rsidR="00FE0656" w:rsidRDefault="00FE0656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656" w:rsidRDefault="00FE0656" w:rsidP="00546556">
      <w:r>
        <w:separator/>
      </w:r>
    </w:p>
  </w:footnote>
  <w:footnote w:type="continuationSeparator" w:id="0">
    <w:p w:rsidR="00FE0656" w:rsidRDefault="00FE0656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4"/>
  </w:num>
  <w:num w:numId="3">
    <w:abstractNumId w:val="11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13"/>
  </w:num>
  <w:num w:numId="9">
    <w:abstractNumId w:val="14"/>
  </w:num>
  <w:num w:numId="10">
    <w:abstractNumId w:val="9"/>
  </w:num>
  <w:num w:numId="11">
    <w:abstractNumId w:val="0"/>
  </w:num>
  <w:num w:numId="12">
    <w:abstractNumId w:val="6"/>
  </w:num>
  <w:num w:numId="13">
    <w:abstractNumId w:val="1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b/jqy/oH+kw8/6aZKFYMGToaJ8m9q1IFIhfNiSJTfczcrSXYTf/9gwL7VXKcvSSAhdaBxr56COTqUvJvm4zUxQ==" w:salt="EPuh+HcDWtVPKQjHiloe2w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39E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41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3426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1ADA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1754"/>
    <w:rsid w:val="001B2756"/>
    <w:rsid w:val="001B758E"/>
    <w:rsid w:val="001C059D"/>
    <w:rsid w:val="001C0768"/>
    <w:rsid w:val="001C1B81"/>
    <w:rsid w:val="001C1D8B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77FF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6FEB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1664"/>
    <w:rsid w:val="002C396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29C9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D073F"/>
    <w:rsid w:val="003D0D14"/>
    <w:rsid w:val="003D1C5A"/>
    <w:rsid w:val="003D1E29"/>
    <w:rsid w:val="003D31BE"/>
    <w:rsid w:val="003D38CD"/>
    <w:rsid w:val="003D48DB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5CE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39E2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D1A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29F"/>
    <w:rsid w:val="00760C4A"/>
    <w:rsid w:val="00761981"/>
    <w:rsid w:val="00762703"/>
    <w:rsid w:val="00762CE4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5BBB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1638B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B3A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2EB4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858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CF5B5B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A08AC"/>
    <w:rsid w:val="00DA1585"/>
    <w:rsid w:val="00DA2E2D"/>
    <w:rsid w:val="00DA5424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1E22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971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51BD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4FD6"/>
    <w:rsid w:val="00F251FC"/>
    <w:rsid w:val="00F272E5"/>
    <w:rsid w:val="00F303D5"/>
    <w:rsid w:val="00F30AC2"/>
    <w:rsid w:val="00F33B3A"/>
    <w:rsid w:val="00F343D1"/>
    <w:rsid w:val="00F350ED"/>
    <w:rsid w:val="00F35C17"/>
    <w:rsid w:val="00F36755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1A17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6E10"/>
    <w:rsid w:val="00F97450"/>
    <w:rsid w:val="00FA00F4"/>
    <w:rsid w:val="00FA093E"/>
    <w:rsid w:val="00FA0A73"/>
    <w:rsid w:val="00FA1738"/>
    <w:rsid w:val="00FA1DC7"/>
    <w:rsid w:val="00FA3543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0656"/>
    <w:rsid w:val="00FE2E5D"/>
    <w:rsid w:val="00FE41EE"/>
    <w:rsid w:val="00FE6740"/>
    <w:rsid w:val="00FE67C8"/>
    <w:rsid w:val="00FE7E6F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1486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20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EC42C-2BD5-4063-B17F-8A7257AB9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Insurance Law</vt:lpstr>
    </vt:vector>
  </TitlesOfParts>
  <Manager>Tyrone Tsang</Manager>
  <Company>The Profectional Company Limited</Company>
  <LinksUpToDate>false</LinksUpToDate>
  <CharactersWithSpaces>2368</CharactersWithSpaces>
  <SharedDoc>false</SharedDoc>
  <HyperlinkBase>http://download.profectional.com/events/EVT000000207.docx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Admissions, Without Prejudice Privilege and the Apology Ordinance</dc:title>
  <dc:subject>CPD Course: Admissions, Without Prejudice Privilege and the Apology Ordinance</dc:subject>
  <dc:creator>The Profectional Company Limited</dc:creator>
  <cp:keywords>Profectional; Kornerstone; CPD; CPT; CLE; CE; RME; Gary Meggitt; MA (Oxon); MPhil (HK); ACII; MCIArb; Solicitor Advocate; England &amp; Wales; Barrister-at-Law; Lincoln's Inn; Accredited Mediator; CEDR; Associate Professor; Faculty of Law; The University of Hong Kong</cp:keywords>
  <cp:lastModifiedBy>Tyrone Tsang</cp:lastModifiedBy>
  <cp:revision>17</cp:revision>
  <cp:lastPrinted>2018-02-06T15:15:00Z</cp:lastPrinted>
  <dcterms:created xsi:type="dcterms:W3CDTF">2015-01-21T17:25:00Z</dcterms:created>
  <dcterms:modified xsi:type="dcterms:W3CDTF">2018-02-06T15:15:00Z</dcterms:modified>
</cp:coreProperties>
</file>