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D7D" w:rsidRPr="00262D7D" w:rsidRDefault="00262D7D" w:rsidP="00262D7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62D7D" w:rsidRPr="00523A64" w:rsidTr="00B74278">
        <w:trPr>
          <w:trHeight w:val="3119"/>
          <w:jc w:val="center"/>
        </w:trPr>
        <w:tc>
          <w:tcPr>
            <w:tcW w:w="4820" w:type="dxa"/>
            <w:shd w:val="clear" w:color="auto" w:fill="FFFFFF"/>
            <w:vAlign w:val="center"/>
          </w:tcPr>
          <w:p w:rsidR="00262D7D" w:rsidRPr="001A3018" w:rsidRDefault="00262D7D" w:rsidP="00B74278">
            <w:pPr>
              <w:jc w:val="center"/>
              <w:rPr>
                <w:rFonts w:ascii="Arial" w:hAnsi="Arial" w:cs="Arial"/>
                <w:b/>
                <w:bCs/>
                <w:color w:val="524B48"/>
                <w:sz w:val="4"/>
                <w:szCs w:val="4"/>
              </w:rPr>
            </w:pPr>
          </w:p>
          <w:p w:rsidR="00262D7D" w:rsidRDefault="00262D7D" w:rsidP="00B74278">
            <w:pPr>
              <w:jc w:val="center"/>
              <w:rPr>
                <w:rStyle w:val="Hyperlink"/>
                <w:rFonts w:ascii="Arial" w:hAnsi="Arial" w:cs="Arial"/>
                <w:b/>
                <w:bCs/>
                <w:color w:val="524B48"/>
                <w:sz w:val="32"/>
                <w:szCs w:val="32"/>
                <w:u w:val="none"/>
              </w:rPr>
            </w:pPr>
            <w:r w:rsidRPr="00CF685C">
              <w:fldChar w:fldCharType="begin"/>
            </w:r>
            <w:r>
              <w:instrText>HYPERLINK "http://cpd.hk/evt000000211/"</w:instrText>
            </w:r>
            <w:r w:rsidRPr="00CF685C">
              <w:fldChar w:fldCharType="separate"/>
            </w:r>
            <w:r>
              <w:rPr>
                <w:rStyle w:val="Hyperlink"/>
                <w:rFonts w:ascii="Arial" w:hAnsi="Arial" w:cs="Arial"/>
                <w:b/>
                <w:bCs/>
                <w:color w:val="524B48"/>
                <w:sz w:val="32"/>
                <w:szCs w:val="32"/>
                <w:u w:val="none"/>
              </w:rPr>
              <w:t>Interlocutory</w:t>
            </w:r>
          </w:p>
          <w:p w:rsidR="00262D7D" w:rsidRDefault="00262D7D" w:rsidP="00B7427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Commercial Injunctions</w:t>
            </w:r>
          </w:p>
          <w:p w:rsidR="00262D7D" w:rsidRDefault="00262D7D" w:rsidP="00B7427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The Laws,</w:t>
            </w:r>
          </w:p>
          <w:p w:rsidR="00262D7D" w:rsidRPr="00CF685C" w:rsidRDefault="00262D7D" w:rsidP="00B74278">
            <w:pPr>
              <w:jc w:val="center"/>
              <w:rPr>
                <w:rStyle w:val="Hyperlink"/>
                <w:rFonts w:ascii="Arial" w:hAnsi="Arial" w:cs="Arial"/>
                <w:b/>
                <w:bCs/>
                <w:color w:val="524B48"/>
                <w:sz w:val="32"/>
                <w:szCs w:val="32"/>
                <w:u w:val="none"/>
              </w:rPr>
            </w:pPr>
            <w:r w:rsidRPr="00244945">
              <w:rPr>
                <w:rStyle w:val="Hyperlink"/>
                <w:rFonts w:ascii="Arial" w:hAnsi="Arial" w:cs="Arial"/>
                <w:b/>
                <w:bCs/>
                <w:color w:val="524B48"/>
                <w:sz w:val="32"/>
                <w:szCs w:val="32"/>
                <w:u w:val="none"/>
              </w:rPr>
              <w:t>Procedures and Pitfalls</w:t>
            </w:r>
          </w:p>
          <w:p w:rsidR="00262D7D" w:rsidRPr="00C65AFD" w:rsidRDefault="00262D7D" w:rsidP="00B7427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262D7D" w:rsidRPr="00C65AFD" w:rsidRDefault="00262D7D" w:rsidP="00B74278">
            <w:pPr>
              <w:jc w:val="center"/>
              <w:rPr>
                <w:rFonts w:ascii="Arial" w:hAnsi="Arial" w:cs="Arial"/>
                <w:i/>
                <w:color w:val="6C6361"/>
                <w:sz w:val="24"/>
                <w:szCs w:val="24"/>
              </w:rPr>
            </w:pPr>
            <w:r w:rsidRPr="00C65AFD">
              <w:rPr>
                <w:rFonts w:ascii="Arial" w:hAnsi="Arial" w:cs="Arial"/>
                <w:i/>
                <w:color w:val="6C6361"/>
                <w:sz w:val="24"/>
                <w:szCs w:val="24"/>
              </w:rPr>
              <w:t>by</w:t>
            </w:r>
          </w:p>
          <w:p w:rsidR="00262D7D" w:rsidRPr="00A35F54" w:rsidRDefault="00262D7D" w:rsidP="00B74278">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262D7D" w:rsidRPr="002B466D" w:rsidRDefault="00262D7D" w:rsidP="00B74278">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262D7D" w:rsidRPr="00D87ECF" w:rsidRDefault="00262D7D" w:rsidP="00B74278">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262D7D" w:rsidRPr="00D50772" w:rsidRDefault="00262D7D" w:rsidP="00B74278">
            <w:pPr>
              <w:spacing w:line="276" w:lineRule="auto"/>
              <w:jc w:val="center"/>
              <w:rPr>
                <w:rFonts w:ascii="Arial" w:eastAsia="Times New Roman" w:hAnsi="Arial" w:cs="Arial"/>
                <w:noProof/>
                <w:sz w:val="20"/>
                <w:szCs w:val="20"/>
              </w:rPr>
            </w:pPr>
            <w:r w:rsidRPr="00EB0D39">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D0DAD79" wp14:editId="60C4A0B8">
                  <wp:simplePos x="0" y="0"/>
                  <wp:positionH relativeFrom="column">
                    <wp:posOffset>3190875</wp:posOffset>
                  </wp:positionH>
                  <wp:positionV relativeFrom="paragraph">
                    <wp:posOffset>-53340</wp:posOffset>
                  </wp:positionV>
                  <wp:extent cx="525145" cy="532765"/>
                  <wp:effectExtent l="0" t="0" r="8255" b="63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14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256A1A9" wp14:editId="0084C30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62D7D" w:rsidRPr="002B466D" w:rsidRDefault="00262D7D" w:rsidP="00262D7D">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262D7D" w:rsidRPr="002B466D" w:rsidTr="00B74278">
        <w:trPr>
          <w:trHeight w:val="7518"/>
          <w:jc w:val="center"/>
        </w:trPr>
        <w:tc>
          <w:tcPr>
            <w:tcW w:w="1985" w:type="dxa"/>
            <w:shd w:val="clear" w:color="auto" w:fill="FFFFFF"/>
            <w:vAlign w:val="center"/>
          </w:tcPr>
          <w:p w:rsidR="00262D7D" w:rsidRPr="002B466D" w:rsidRDefault="00262D7D" w:rsidP="00B74278">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003B06D1" wp14:editId="73812B88">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262D7D" w:rsidRPr="00F55777" w:rsidRDefault="00262D7D" w:rsidP="00262D7D">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262D7D" w:rsidRPr="00F55777" w:rsidRDefault="00262D7D" w:rsidP="00262D7D">
            <w:pPr>
              <w:pStyle w:val="NormalWeb"/>
              <w:spacing w:before="0" w:beforeAutospacing="0" w:after="0" w:afterAutospacing="0"/>
              <w:ind w:right="33"/>
              <w:jc w:val="both"/>
              <w:rPr>
                <w:rFonts w:ascii="Arial" w:hAnsi="Arial" w:cs="Arial"/>
                <w:color w:val="6C6361"/>
                <w:sz w:val="12"/>
                <w:szCs w:val="12"/>
              </w:rPr>
            </w:pPr>
          </w:p>
          <w:p w:rsidR="00262D7D" w:rsidRPr="00F55777" w:rsidRDefault="00262D7D" w:rsidP="00262D7D">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 xml:space="preserve">Dr. So has a broad civil and criminal practice, including general commercial disputes, property disputes, matrimonial and family disputes, personal injuries disputes, construction disputes, etc.  He regularly appears for the prosecution and </w:t>
            </w:r>
            <w:proofErr w:type="spellStart"/>
            <w:r w:rsidRPr="00F55777">
              <w:rPr>
                <w:rFonts w:ascii="Arial" w:hAnsi="Arial" w:cs="Arial"/>
                <w:color w:val="6C6361"/>
              </w:rPr>
              <w:t>defence</w:t>
            </w:r>
            <w:proofErr w:type="spellEnd"/>
            <w:r w:rsidRPr="00F55777">
              <w:rPr>
                <w:rFonts w:ascii="Arial" w:hAnsi="Arial" w:cs="Arial"/>
                <w:color w:val="6C6361"/>
              </w:rPr>
              <w:t xml:space="preserve"> in criminal cases.  He has served as the legal advisor to a Disciplinary Tribunal in addition to handling several civil proceedings.  Prior to becoming a barrister, he has over 20 years of engineering and project management experience </w:t>
            </w:r>
            <w:proofErr w:type="spellStart"/>
            <w:r w:rsidRPr="00F55777">
              <w:rPr>
                <w:rFonts w:ascii="Arial" w:hAnsi="Arial" w:cs="Arial"/>
                <w:color w:val="6C6361"/>
              </w:rPr>
              <w:t>specialising</w:t>
            </w:r>
            <w:proofErr w:type="spellEnd"/>
            <w:r w:rsidRPr="00F55777">
              <w:rPr>
                <w:rFonts w:ascii="Arial" w:hAnsi="Arial" w:cs="Arial"/>
                <w:color w:val="6C6361"/>
              </w:rPr>
              <w:t xml:space="preserve"> in the design and construction of railway extensions in Hong Kong and overseas.</w:t>
            </w:r>
          </w:p>
          <w:p w:rsidR="00262D7D" w:rsidRPr="00F55777" w:rsidRDefault="00262D7D" w:rsidP="00262D7D">
            <w:pPr>
              <w:pStyle w:val="NormalWeb"/>
              <w:spacing w:before="0" w:beforeAutospacing="0" w:after="0" w:afterAutospacing="0"/>
              <w:ind w:right="33"/>
              <w:jc w:val="both"/>
              <w:rPr>
                <w:rFonts w:ascii="Arial" w:hAnsi="Arial" w:cs="Arial"/>
                <w:color w:val="6C6361"/>
                <w:sz w:val="12"/>
                <w:szCs w:val="12"/>
              </w:rPr>
            </w:pPr>
          </w:p>
          <w:p w:rsidR="00262D7D" w:rsidRPr="00F55777" w:rsidRDefault="00262D7D" w:rsidP="00262D7D">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 xml:space="preserve">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w:t>
            </w:r>
            <w:proofErr w:type="spellStart"/>
            <w:r w:rsidRPr="00F55777">
              <w:rPr>
                <w:rFonts w:ascii="Arial" w:hAnsi="Arial" w:cs="Arial"/>
                <w:color w:val="6C6361"/>
              </w:rPr>
              <w:t>Shue</w:t>
            </w:r>
            <w:proofErr w:type="spellEnd"/>
            <w:r w:rsidRPr="00F55777">
              <w:rPr>
                <w:rFonts w:ascii="Arial" w:hAnsi="Arial" w:cs="Arial"/>
                <w:color w:val="6C6361"/>
              </w:rPr>
              <w:t xml:space="preserve"> Yan University, and has provided mediation training to the Shantou University Law School.</w:t>
            </w:r>
          </w:p>
          <w:p w:rsidR="00262D7D" w:rsidRPr="00F55777" w:rsidRDefault="00262D7D" w:rsidP="00262D7D">
            <w:pPr>
              <w:pStyle w:val="NormalWeb"/>
              <w:spacing w:before="0" w:beforeAutospacing="0" w:after="0" w:afterAutospacing="0"/>
              <w:ind w:right="33"/>
              <w:jc w:val="both"/>
              <w:rPr>
                <w:rFonts w:ascii="Arial" w:hAnsi="Arial" w:cs="Arial"/>
                <w:color w:val="6C6361"/>
                <w:sz w:val="12"/>
                <w:szCs w:val="12"/>
              </w:rPr>
            </w:pPr>
          </w:p>
          <w:p w:rsidR="00262D7D" w:rsidRPr="002B466D" w:rsidRDefault="00262D7D" w:rsidP="00262D7D">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Dr. So has delivered over ten 2-hour and 3-hour CPD seminars accredited by the Law Society of Hong Kong and the HKMAAL.  Besides, he has also published three Chinese journal articles on Water Seepage Claims and Interlocutory Injunctions, two journal articles on property in human tissues and several engineering articles on various topics.</w:t>
            </w:r>
          </w:p>
        </w:tc>
      </w:tr>
    </w:tbl>
    <w:p w:rsidR="00262D7D" w:rsidRPr="002B466D" w:rsidRDefault="00262D7D" w:rsidP="00262D7D">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262D7D" w:rsidRPr="002B466D" w:rsidTr="00B74278">
        <w:trPr>
          <w:trHeight w:val="2835"/>
          <w:jc w:val="center"/>
        </w:trPr>
        <w:tc>
          <w:tcPr>
            <w:tcW w:w="10773" w:type="dxa"/>
            <w:tcBorders>
              <w:top w:val="nil"/>
              <w:bottom w:val="nil"/>
            </w:tcBorders>
            <w:shd w:val="clear" w:color="auto" w:fill="FFFFFF" w:themeFill="background1"/>
            <w:vAlign w:val="center"/>
          </w:tcPr>
          <w:p w:rsidR="00262D7D" w:rsidRDefault="00262D7D" w:rsidP="00B74278">
            <w:pPr>
              <w:ind w:right="33"/>
              <w:rPr>
                <w:rFonts w:ascii="Arial" w:hAnsi="Arial" w:cs="Arial"/>
                <w:color w:val="6C6361"/>
                <w:sz w:val="24"/>
                <w:szCs w:val="24"/>
              </w:rPr>
            </w:pPr>
            <w:r w:rsidRPr="00244945">
              <w:rPr>
                <w:rFonts w:ascii="Arial" w:hAnsi="Arial" w:cs="Arial"/>
                <w:color w:val="6C6361"/>
                <w:sz w:val="24"/>
                <w:szCs w:val="24"/>
              </w:rPr>
              <w:t>Interlocutory commercial injunction is a very common application to be encountered by a solicitor at various stages of litigation, spanning from pre-commencement, in</w:t>
            </w:r>
            <w:r>
              <w:rPr>
                <w:rFonts w:ascii="Arial" w:hAnsi="Arial" w:cs="Arial"/>
                <w:color w:val="6C6361"/>
                <w:sz w:val="24"/>
                <w:szCs w:val="24"/>
              </w:rPr>
              <w:t xml:space="preserve">terlocutory up to enforcement.  </w:t>
            </w:r>
            <w:r w:rsidRPr="00244945">
              <w:rPr>
                <w:rFonts w:ascii="Arial" w:hAnsi="Arial" w:cs="Arial"/>
                <w:color w:val="6C6361"/>
                <w:sz w:val="24"/>
                <w:szCs w:val="24"/>
              </w:rPr>
              <w:t xml:space="preserve">Quite </w:t>
            </w:r>
            <w:r>
              <w:rPr>
                <w:rFonts w:ascii="Arial" w:hAnsi="Arial" w:cs="Arial"/>
                <w:color w:val="6C6361"/>
                <w:sz w:val="24"/>
                <w:szCs w:val="24"/>
              </w:rPr>
              <w:t>often</w:t>
            </w:r>
            <w:r w:rsidRPr="00244945">
              <w:rPr>
                <w:rFonts w:ascii="Arial" w:hAnsi="Arial" w:cs="Arial"/>
                <w:color w:val="6C6361"/>
                <w:sz w:val="24"/>
                <w:szCs w:val="24"/>
              </w:rPr>
              <w:t xml:space="preserve"> the success or failure in obtaining an injunction will determine whether an intended action is worthwhile to pursue, and may </w:t>
            </w:r>
            <w:r>
              <w:rPr>
                <w:rFonts w:ascii="Arial" w:hAnsi="Arial" w:cs="Arial"/>
                <w:color w:val="6C6361"/>
                <w:sz w:val="24"/>
                <w:szCs w:val="24"/>
              </w:rPr>
              <w:t>even dispose the entire action.</w:t>
            </w:r>
          </w:p>
          <w:p w:rsidR="00262D7D" w:rsidRPr="00C07CAC" w:rsidRDefault="00262D7D" w:rsidP="00B74278">
            <w:pPr>
              <w:ind w:right="33"/>
              <w:rPr>
                <w:rFonts w:ascii="Arial" w:hAnsi="Arial" w:cs="Arial"/>
                <w:color w:val="6C6361"/>
                <w:sz w:val="12"/>
                <w:szCs w:val="12"/>
              </w:rPr>
            </w:pPr>
          </w:p>
          <w:p w:rsidR="00262D7D" w:rsidRPr="002B466D" w:rsidRDefault="00262D7D" w:rsidP="00B74278">
            <w:pPr>
              <w:ind w:right="33"/>
              <w:rPr>
                <w:rFonts w:ascii="Arial" w:hAnsi="Arial" w:cs="Arial"/>
                <w:color w:val="6C6361"/>
                <w:sz w:val="24"/>
                <w:szCs w:val="24"/>
              </w:rPr>
            </w:pPr>
            <w:r w:rsidRPr="00244945">
              <w:rPr>
                <w:rFonts w:ascii="Arial" w:hAnsi="Arial" w:cs="Arial"/>
                <w:color w:val="6C6361"/>
                <w:sz w:val="24"/>
                <w:szCs w:val="24"/>
              </w:rPr>
              <w:t>A</w:t>
            </w:r>
            <w:r>
              <w:rPr>
                <w:rFonts w:ascii="Arial" w:hAnsi="Arial" w:cs="Arial"/>
                <w:color w:val="6C6361"/>
                <w:sz w:val="24"/>
                <w:szCs w:val="24"/>
              </w:rPr>
              <w:t xml:space="preserve">s pointed out by Lord Hoffman, </w:t>
            </w:r>
            <w:r w:rsidRPr="00244945">
              <w:rPr>
                <w:rFonts w:ascii="Arial" w:hAnsi="Arial" w:cs="Arial"/>
                <w:i/>
                <w:color w:val="6C6361"/>
                <w:sz w:val="24"/>
                <w:szCs w:val="24"/>
              </w:rPr>
              <w:t>“[t]he purpose of... an injunction is to improve the chances of the court being able to do justice after the determination of the merits at trial.  At the interlocutory stage, the court must therefore assess whether granting or withholding an injunction is more likely to produce a just result.”</w:t>
            </w:r>
            <w:r>
              <w:rPr>
                <w:rFonts w:ascii="Arial" w:hAnsi="Arial" w:cs="Arial"/>
                <w:color w:val="6C6361"/>
                <w:sz w:val="24"/>
                <w:szCs w:val="24"/>
              </w:rPr>
              <w:t xml:space="preserve">  (</w:t>
            </w:r>
            <w:r w:rsidRPr="00A01630">
              <w:rPr>
                <w:rFonts w:ascii="Arial" w:hAnsi="Arial" w:cs="Arial"/>
                <w:i/>
                <w:color w:val="6C6361"/>
                <w:sz w:val="24"/>
                <w:szCs w:val="24"/>
              </w:rPr>
              <w:t xml:space="preserve">National Commercial Bank Jamaica Ltd. v </w:t>
            </w:r>
            <w:proofErr w:type="spellStart"/>
            <w:r w:rsidRPr="00A01630">
              <w:rPr>
                <w:rFonts w:ascii="Arial" w:hAnsi="Arial" w:cs="Arial"/>
                <w:i/>
                <w:color w:val="6C6361"/>
                <w:sz w:val="24"/>
                <w:szCs w:val="24"/>
              </w:rPr>
              <w:t>Olint</w:t>
            </w:r>
            <w:proofErr w:type="spellEnd"/>
            <w:r w:rsidRPr="00A01630">
              <w:rPr>
                <w:rFonts w:ascii="Arial" w:hAnsi="Arial" w:cs="Arial"/>
                <w:i/>
                <w:color w:val="6C6361"/>
                <w:sz w:val="24"/>
                <w:szCs w:val="24"/>
              </w:rPr>
              <w:t xml:space="preserve"> Corporation Ltd. (Jamaica)</w:t>
            </w:r>
            <w:r>
              <w:rPr>
                <w:rFonts w:ascii="Arial" w:hAnsi="Arial" w:cs="Arial"/>
                <w:color w:val="6C6361"/>
                <w:sz w:val="24"/>
                <w:szCs w:val="24"/>
              </w:rPr>
              <w:t xml:space="preserve"> [2009] UKPC 16)  </w:t>
            </w:r>
            <w:r w:rsidRPr="00244945">
              <w:rPr>
                <w:rFonts w:ascii="Arial" w:hAnsi="Arial" w:cs="Arial"/>
                <w:color w:val="6C6361"/>
                <w:sz w:val="24"/>
                <w:szCs w:val="24"/>
              </w:rPr>
              <w:t>But what are the guidelines in governing such an assessment?</w:t>
            </w:r>
          </w:p>
        </w:tc>
      </w:tr>
    </w:tbl>
    <w:p w:rsidR="00262D7D" w:rsidRPr="00262D7D" w:rsidRDefault="00262D7D" w:rsidP="00262D7D">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8962"/>
        <w:gridCol w:w="1811"/>
      </w:tblGrid>
      <w:tr w:rsidR="00262D7D" w:rsidRPr="002B466D" w:rsidTr="00B74278">
        <w:trPr>
          <w:trHeight w:val="2977"/>
          <w:jc w:val="center"/>
        </w:trPr>
        <w:tc>
          <w:tcPr>
            <w:tcW w:w="10773" w:type="dxa"/>
            <w:gridSpan w:val="2"/>
            <w:tcBorders>
              <w:top w:val="nil"/>
              <w:bottom w:val="nil"/>
            </w:tcBorders>
            <w:shd w:val="clear" w:color="auto" w:fill="FFFFFF" w:themeFill="background1"/>
            <w:vAlign w:val="center"/>
          </w:tcPr>
          <w:p w:rsidR="00262D7D" w:rsidRDefault="00262D7D" w:rsidP="00B74278">
            <w:pPr>
              <w:ind w:right="33"/>
              <w:rPr>
                <w:rFonts w:ascii="Arial" w:hAnsi="Arial" w:cs="Arial"/>
                <w:color w:val="6C6361"/>
                <w:sz w:val="24"/>
                <w:szCs w:val="24"/>
              </w:rPr>
            </w:pPr>
            <w:r w:rsidRPr="00244945">
              <w:rPr>
                <w:rFonts w:ascii="Arial" w:hAnsi="Arial" w:cs="Arial"/>
                <w:color w:val="6C6361"/>
                <w:sz w:val="24"/>
                <w:szCs w:val="24"/>
              </w:rPr>
              <w:lastRenderedPageBreak/>
              <w:t>This course is intended to provide a concise and yet comprehensive coverage of the laws and procedures in this area, supplement with some practical guidelines against the pitfalls in practice.</w:t>
            </w:r>
          </w:p>
          <w:p w:rsidR="00262D7D" w:rsidRPr="00C07CAC" w:rsidRDefault="00262D7D" w:rsidP="00B74278">
            <w:pPr>
              <w:ind w:right="33"/>
              <w:rPr>
                <w:rFonts w:ascii="Arial" w:hAnsi="Arial" w:cs="Arial"/>
                <w:color w:val="6C6361"/>
                <w:sz w:val="12"/>
                <w:szCs w:val="12"/>
              </w:rPr>
            </w:pPr>
          </w:p>
          <w:p w:rsidR="00262D7D" w:rsidRDefault="00262D7D" w:rsidP="00B74278">
            <w:pPr>
              <w:ind w:right="33"/>
              <w:rPr>
                <w:rFonts w:ascii="Arial" w:hAnsi="Arial" w:cs="Arial"/>
                <w:color w:val="6C6361"/>
                <w:sz w:val="24"/>
                <w:szCs w:val="24"/>
              </w:rPr>
            </w:pPr>
            <w:r w:rsidRPr="00244945">
              <w:rPr>
                <w:rFonts w:ascii="Arial" w:hAnsi="Arial" w:cs="Arial"/>
                <w:color w:val="6C6361"/>
                <w:sz w:val="24"/>
                <w:szCs w:val="24"/>
              </w:rPr>
              <w:t>At the end of the course, participants should be able to:</w:t>
            </w:r>
          </w:p>
          <w:p w:rsidR="00262D7D" w:rsidRPr="00C07CAC" w:rsidRDefault="00262D7D" w:rsidP="00B74278">
            <w:pPr>
              <w:ind w:right="33"/>
              <w:rPr>
                <w:rFonts w:ascii="Arial" w:hAnsi="Arial" w:cs="Arial"/>
                <w:color w:val="6C6361"/>
                <w:sz w:val="12"/>
                <w:szCs w:val="12"/>
              </w:rPr>
            </w:pPr>
          </w:p>
          <w:p w:rsidR="00262D7D" w:rsidRDefault="00262D7D" w:rsidP="00B74278">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Understand the principles governing the granting of interlocutory commercial injunctions;</w:t>
            </w:r>
          </w:p>
          <w:p w:rsidR="00262D7D" w:rsidRDefault="00262D7D" w:rsidP="00B74278">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Understand some common types of interlocutory injunctions;</w:t>
            </w:r>
          </w:p>
          <w:p w:rsidR="00262D7D" w:rsidRDefault="00262D7D" w:rsidP="00B74278">
            <w:pPr>
              <w:pStyle w:val="ListParagraph"/>
              <w:numPr>
                <w:ilvl w:val="0"/>
                <w:numId w:val="2"/>
              </w:numPr>
              <w:ind w:right="33"/>
              <w:rPr>
                <w:rFonts w:ascii="Arial" w:hAnsi="Arial" w:cs="Arial"/>
                <w:color w:val="6C6361"/>
                <w:sz w:val="24"/>
                <w:szCs w:val="24"/>
              </w:rPr>
            </w:pPr>
            <w:r w:rsidRPr="00244945">
              <w:rPr>
                <w:rFonts w:ascii="Arial" w:hAnsi="Arial" w:cs="Arial"/>
                <w:color w:val="6C6361"/>
                <w:sz w:val="24"/>
                <w:szCs w:val="24"/>
              </w:rPr>
              <w:t>Grasp the gr</w:t>
            </w:r>
            <w:r>
              <w:rPr>
                <w:rFonts w:ascii="Arial" w:hAnsi="Arial" w:cs="Arial"/>
                <w:color w:val="6C6361"/>
                <w:sz w:val="24"/>
                <w:szCs w:val="24"/>
              </w:rPr>
              <w:t>ounds in setting aside/varying an junction and the</w:t>
            </w:r>
            <w:r w:rsidRPr="00244945">
              <w:rPr>
                <w:rFonts w:ascii="Arial" w:hAnsi="Arial" w:cs="Arial"/>
                <w:color w:val="6C6361"/>
                <w:sz w:val="24"/>
                <w:szCs w:val="24"/>
              </w:rPr>
              <w:t xml:space="preserve"> recourse against a wrongly granted injunction;</w:t>
            </w:r>
          </w:p>
          <w:p w:rsidR="00262D7D" w:rsidRDefault="00262D7D" w:rsidP="00B74278">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Appreciate the lessons learnt from selected case studies; and</w:t>
            </w:r>
          </w:p>
          <w:p w:rsidR="00262D7D" w:rsidRPr="00244945" w:rsidRDefault="00262D7D" w:rsidP="00B74278">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Assess the likely issues</w:t>
            </w:r>
            <w:r>
              <w:rPr>
                <w:rFonts w:ascii="Arial" w:hAnsi="Arial" w:cs="Arial"/>
                <w:color w:val="6C6361"/>
                <w:sz w:val="24"/>
                <w:szCs w:val="24"/>
              </w:rPr>
              <w:t xml:space="preserve"> in an application for granting/</w:t>
            </w:r>
            <w:r w:rsidRPr="00244945">
              <w:rPr>
                <w:rFonts w:ascii="Arial" w:hAnsi="Arial" w:cs="Arial"/>
                <w:color w:val="6C6361"/>
                <w:sz w:val="24"/>
                <w:szCs w:val="24"/>
              </w:rPr>
              <w:t xml:space="preserve">setting aside an </w:t>
            </w:r>
            <w:r>
              <w:rPr>
                <w:rFonts w:ascii="Arial" w:hAnsi="Arial" w:cs="Arial"/>
                <w:color w:val="6C6361"/>
                <w:sz w:val="24"/>
                <w:szCs w:val="24"/>
              </w:rPr>
              <w:t>in</w:t>
            </w:r>
            <w:r w:rsidRPr="00244945">
              <w:rPr>
                <w:rFonts w:ascii="Arial" w:hAnsi="Arial" w:cs="Arial"/>
                <w:color w:val="6C6361"/>
                <w:sz w:val="24"/>
                <w:szCs w:val="24"/>
              </w:rPr>
              <w:t>junction.</w:t>
            </w:r>
          </w:p>
        </w:tc>
      </w:tr>
      <w:tr w:rsidR="00262D7D" w:rsidRPr="002B466D" w:rsidTr="00B74278">
        <w:trPr>
          <w:trHeight w:val="454"/>
          <w:jc w:val="center"/>
        </w:trPr>
        <w:tc>
          <w:tcPr>
            <w:tcW w:w="10773" w:type="dxa"/>
            <w:gridSpan w:val="2"/>
            <w:tcBorders>
              <w:top w:val="nil"/>
              <w:bottom w:val="nil"/>
            </w:tcBorders>
            <w:shd w:val="clear" w:color="auto" w:fill="F0EBE1"/>
            <w:vAlign w:val="center"/>
          </w:tcPr>
          <w:p w:rsidR="00262D7D" w:rsidRPr="002B466D" w:rsidRDefault="00262D7D" w:rsidP="00B74278">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262D7D" w:rsidRPr="002B466D" w:rsidTr="00B74278">
        <w:trPr>
          <w:trHeight w:val="5776"/>
          <w:jc w:val="center"/>
        </w:trPr>
        <w:tc>
          <w:tcPr>
            <w:tcW w:w="9057" w:type="dxa"/>
            <w:tcBorders>
              <w:top w:val="nil"/>
              <w:bottom w:val="nil"/>
              <w:right w:val="nil"/>
            </w:tcBorders>
            <w:shd w:val="clear" w:color="auto" w:fill="FFFFFF"/>
            <w:vAlign w:val="center"/>
          </w:tcPr>
          <w:p w:rsidR="00262D7D" w:rsidRPr="00A01630" w:rsidRDefault="00262D7D" w:rsidP="00B74278">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 xml:space="preserve">What are interlocutory commercial injunctions? </w:t>
            </w:r>
          </w:p>
          <w:p w:rsidR="00262D7D" w:rsidRPr="00A01630" w:rsidRDefault="00262D7D" w:rsidP="00B74278">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The laws:</w:t>
            </w:r>
          </w:p>
          <w:p w:rsidR="00262D7D" w:rsidRPr="00A01630" w:rsidRDefault="00262D7D" w:rsidP="00B74278">
            <w:pPr>
              <w:pStyle w:val="ListParagraph"/>
              <w:numPr>
                <w:ilvl w:val="1"/>
                <w:numId w:val="2"/>
              </w:numPr>
              <w:ind w:right="-108"/>
              <w:rPr>
                <w:rFonts w:ascii="Arial" w:hAnsi="Arial" w:cs="Arial"/>
                <w:i/>
                <w:color w:val="6C6361"/>
                <w:sz w:val="24"/>
                <w:szCs w:val="24"/>
              </w:rPr>
            </w:pPr>
            <w:r w:rsidRPr="00A01630">
              <w:rPr>
                <w:rFonts w:ascii="Arial" w:hAnsi="Arial" w:cs="Arial"/>
                <w:i/>
                <w:color w:val="6C6361"/>
                <w:sz w:val="24"/>
                <w:szCs w:val="24"/>
              </w:rPr>
              <w:t>American Cyanamid Principles</w:t>
            </w:r>
          </w:p>
          <w:p w:rsidR="00262D7D" w:rsidRPr="00A01630" w:rsidRDefault="00262D7D" w:rsidP="00B74278">
            <w:pPr>
              <w:pStyle w:val="ListParagraph"/>
              <w:numPr>
                <w:ilvl w:val="1"/>
                <w:numId w:val="2"/>
              </w:numPr>
              <w:ind w:right="-108"/>
              <w:rPr>
                <w:rFonts w:ascii="Arial" w:hAnsi="Arial" w:cs="Arial"/>
                <w:color w:val="6C6361"/>
                <w:sz w:val="24"/>
                <w:szCs w:val="24"/>
              </w:rPr>
            </w:pPr>
            <w:proofErr w:type="spellStart"/>
            <w:r w:rsidRPr="00A01630">
              <w:rPr>
                <w:rFonts w:ascii="Arial" w:hAnsi="Arial" w:cs="Arial"/>
                <w:i/>
                <w:color w:val="6C6361"/>
                <w:sz w:val="24"/>
                <w:szCs w:val="24"/>
              </w:rPr>
              <w:t>Compania</w:t>
            </w:r>
            <w:proofErr w:type="spellEnd"/>
            <w:r>
              <w:rPr>
                <w:rFonts w:ascii="Arial" w:hAnsi="Arial" w:cs="Arial"/>
                <w:i/>
                <w:color w:val="6C6361"/>
                <w:sz w:val="24"/>
                <w:szCs w:val="24"/>
              </w:rPr>
              <w:t xml:space="preserve"> </w:t>
            </w:r>
            <w:proofErr w:type="spellStart"/>
            <w:r>
              <w:rPr>
                <w:rFonts w:ascii="Arial" w:hAnsi="Arial" w:cs="Arial"/>
                <w:i/>
                <w:color w:val="6C6361"/>
                <w:sz w:val="24"/>
                <w:szCs w:val="24"/>
              </w:rPr>
              <w:t>Sud</w:t>
            </w:r>
            <w:proofErr w:type="spellEnd"/>
            <w:r>
              <w:rPr>
                <w:rFonts w:ascii="Arial" w:hAnsi="Arial" w:cs="Arial"/>
                <w:i/>
                <w:color w:val="6C6361"/>
                <w:sz w:val="24"/>
                <w:szCs w:val="24"/>
              </w:rPr>
              <w:t xml:space="preserve"> Americana De </w:t>
            </w:r>
            <w:proofErr w:type="spellStart"/>
            <w:r>
              <w:rPr>
                <w:rFonts w:ascii="Arial" w:hAnsi="Arial" w:cs="Arial"/>
                <w:i/>
                <w:color w:val="6C6361"/>
                <w:sz w:val="24"/>
                <w:szCs w:val="24"/>
              </w:rPr>
              <w:t>Vapores</w:t>
            </w:r>
            <w:proofErr w:type="spellEnd"/>
            <w:r>
              <w:rPr>
                <w:rFonts w:ascii="Arial" w:hAnsi="Arial" w:cs="Arial"/>
                <w:i/>
                <w:color w:val="6C6361"/>
                <w:sz w:val="24"/>
                <w:szCs w:val="24"/>
              </w:rPr>
              <w:t xml:space="preserve"> S.A v</w:t>
            </w:r>
            <w:r w:rsidRPr="00A01630">
              <w:rPr>
                <w:rFonts w:ascii="Arial" w:hAnsi="Arial" w:cs="Arial"/>
                <w:i/>
                <w:color w:val="6C6361"/>
                <w:sz w:val="24"/>
                <w:szCs w:val="24"/>
              </w:rPr>
              <w:t xml:space="preserve"> </w:t>
            </w:r>
            <w:proofErr w:type="spellStart"/>
            <w:r w:rsidRPr="00A01630">
              <w:rPr>
                <w:rFonts w:ascii="Arial" w:hAnsi="Arial" w:cs="Arial"/>
                <w:i/>
                <w:color w:val="6C6361"/>
                <w:sz w:val="24"/>
                <w:szCs w:val="24"/>
              </w:rPr>
              <w:t>Hin</w:t>
            </w:r>
            <w:proofErr w:type="spellEnd"/>
            <w:r w:rsidRPr="00A01630">
              <w:rPr>
                <w:rFonts w:ascii="Arial" w:hAnsi="Arial" w:cs="Arial"/>
                <w:i/>
                <w:color w:val="6C6361"/>
                <w:sz w:val="24"/>
                <w:szCs w:val="24"/>
              </w:rPr>
              <w:t>-Pro International Logistics Ltd.</w:t>
            </w:r>
            <w:r w:rsidRPr="00A01630">
              <w:rPr>
                <w:rFonts w:ascii="Arial" w:hAnsi="Arial" w:cs="Arial"/>
                <w:color w:val="6C6361"/>
                <w:sz w:val="24"/>
                <w:szCs w:val="24"/>
              </w:rPr>
              <w:t xml:space="preserve"> (2016) 19 HKCFAR 586</w:t>
            </w:r>
          </w:p>
          <w:p w:rsidR="00262D7D" w:rsidRPr="00A01630" w:rsidRDefault="00262D7D" w:rsidP="00B74278">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Injunctions affecting third parties</w:t>
            </w:r>
          </w:p>
          <w:p w:rsidR="00262D7D" w:rsidRPr="00A01630" w:rsidRDefault="00262D7D" w:rsidP="00B74278">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Procedures</w:t>
            </w:r>
          </w:p>
          <w:p w:rsidR="00262D7D" w:rsidRPr="00A01630" w:rsidRDefault="00262D7D" w:rsidP="00B74278">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Common types of injunctions:</w:t>
            </w:r>
          </w:p>
          <w:p w:rsidR="00262D7D" w:rsidRPr="00A01630" w:rsidRDefault="00262D7D" w:rsidP="00B74278">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Mareva</w:t>
            </w:r>
            <w:proofErr w:type="spellEnd"/>
            <w:r w:rsidRPr="00A01630">
              <w:rPr>
                <w:rFonts w:ascii="Arial" w:hAnsi="Arial" w:cs="Arial"/>
                <w:color w:val="6C6361"/>
                <w:sz w:val="24"/>
                <w:szCs w:val="24"/>
              </w:rPr>
              <w:t xml:space="preserve"> injunctions</w:t>
            </w:r>
          </w:p>
          <w:p w:rsidR="00262D7D" w:rsidRPr="00A01630" w:rsidRDefault="00262D7D" w:rsidP="00B74278">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Anti-suit injunctions</w:t>
            </w:r>
          </w:p>
          <w:p w:rsidR="00262D7D" w:rsidRPr="00A01630" w:rsidRDefault="00262D7D" w:rsidP="00B74278">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Injunctions to prohibit wrongdoings</w:t>
            </w:r>
          </w:p>
          <w:p w:rsidR="00262D7D" w:rsidRPr="00A01630" w:rsidRDefault="00262D7D" w:rsidP="00B74278">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 xml:space="preserve">Anton </w:t>
            </w:r>
            <w:proofErr w:type="spellStart"/>
            <w:r w:rsidRPr="00A01630">
              <w:rPr>
                <w:rFonts w:ascii="Arial" w:hAnsi="Arial" w:cs="Arial"/>
                <w:color w:val="6C6361"/>
                <w:sz w:val="24"/>
                <w:szCs w:val="24"/>
              </w:rPr>
              <w:t>Piller</w:t>
            </w:r>
            <w:proofErr w:type="spellEnd"/>
            <w:r w:rsidRPr="00A01630">
              <w:rPr>
                <w:rFonts w:ascii="Arial" w:hAnsi="Arial" w:cs="Arial"/>
                <w:color w:val="6C6361"/>
                <w:sz w:val="24"/>
                <w:szCs w:val="24"/>
              </w:rPr>
              <w:t xml:space="preserve"> orders</w:t>
            </w:r>
          </w:p>
          <w:p w:rsidR="00262D7D" w:rsidRPr="00A01630" w:rsidRDefault="00262D7D" w:rsidP="00B74278">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 xml:space="preserve">Norwich </w:t>
            </w:r>
            <w:proofErr w:type="spellStart"/>
            <w:r w:rsidRPr="00A01630">
              <w:rPr>
                <w:rFonts w:ascii="Arial" w:hAnsi="Arial" w:cs="Arial"/>
                <w:color w:val="6C6361"/>
                <w:sz w:val="24"/>
                <w:szCs w:val="24"/>
              </w:rPr>
              <w:t>Pharmacal</w:t>
            </w:r>
            <w:proofErr w:type="spellEnd"/>
            <w:r w:rsidRPr="00A01630">
              <w:rPr>
                <w:rFonts w:ascii="Arial" w:hAnsi="Arial" w:cs="Arial"/>
                <w:color w:val="6C6361"/>
                <w:sz w:val="24"/>
                <w:szCs w:val="24"/>
              </w:rPr>
              <w:t xml:space="preserve"> orders</w:t>
            </w:r>
          </w:p>
          <w:p w:rsidR="00262D7D" w:rsidRPr="00A01630" w:rsidRDefault="00262D7D" w:rsidP="00B74278">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Quia</w:t>
            </w:r>
            <w:proofErr w:type="spellEnd"/>
            <w:r w:rsidRPr="00A01630">
              <w:rPr>
                <w:rFonts w:ascii="Arial" w:hAnsi="Arial" w:cs="Arial"/>
                <w:color w:val="6C6361"/>
                <w:sz w:val="24"/>
                <w:szCs w:val="24"/>
              </w:rPr>
              <w:t xml:space="preserve"> </w:t>
            </w:r>
            <w:proofErr w:type="spellStart"/>
            <w:r w:rsidRPr="00A01630">
              <w:rPr>
                <w:rFonts w:ascii="Arial" w:hAnsi="Arial" w:cs="Arial"/>
                <w:color w:val="6C6361"/>
                <w:sz w:val="24"/>
                <w:szCs w:val="24"/>
              </w:rPr>
              <w:t>Timet</w:t>
            </w:r>
            <w:proofErr w:type="spellEnd"/>
            <w:r w:rsidRPr="00A01630">
              <w:rPr>
                <w:rFonts w:ascii="Arial" w:hAnsi="Arial" w:cs="Arial"/>
                <w:color w:val="6C6361"/>
                <w:sz w:val="24"/>
                <w:szCs w:val="24"/>
              </w:rPr>
              <w:t xml:space="preserve"> injunctions</w:t>
            </w:r>
          </w:p>
          <w:p w:rsidR="00262D7D" w:rsidRPr="00A01630" w:rsidRDefault="00262D7D" w:rsidP="00B74278">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Chabra</w:t>
            </w:r>
            <w:proofErr w:type="spellEnd"/>
            <w:r w:rsidRPr="00A01630">
              <w:rPr>
                <w:rFonts w:ascii="Arial" w:hAnsi="Arial" w:cs="Arial"/>
                <w:color w:val="6C6361"/>
                <w:sz w:val="24"/>
                <w:szCs w:val="24"/>
              </w:rPr>
              <w:t xml:space="preserve"> injunctions</w:t>
            </w:r>
          </w:p>
          <w:p w:rsidR="00262D7D" w:rsidRPr="00A01630" w:rsidRDefault="00262D7D" w:rsidP="00B74278">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Grounds for setting aside/</w:t>
            </w:r>
            <w:r w:rsidRPr="00A01630">
              <w:rPr>
                <w:rFonts w:ascii="Arial" w:hAnsi="Arial" w:cs="Arial"/>
                <w:color w:val="6C6361"/>
                <w:sz w:val="24"/>
                <w:szCs w:val="24"/>
              </w:rPr>
              <w:t>varying an injunction</w:t>
            </w:r>
          </w:p>
          <w:p w:rsidR="00262D7D" w:rsidRPr="00A01630" w:rsidRDefault="00262D7D" w:rsidP="00B74278">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Recourse against a wrongly granted injunction</w:t>
            </w:r>
          </w:p>
          <w:p w:rsidR="00262D7D" w:rsidRPr="00A01630" w:rsidRDefault="00262D7D" w:rsidP="00B74278">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Costs</w:t>
            </w:r>
          </w:p>
          <w:p w:rsidR="00262D7D" w:rsidRPr="00A01630" w:rsidRDefault="00262D7D" w:rsidP="00B74278">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Pitfalls</w:t>
            </w:r>
          </w:p>
          <w:p w:rsidR="00262D7D" w:rsidRPr="00A01630" w:rsidRDefault="00262D7D" w:rsidP="00B74278">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Case studies</w:t>
            </w:r>
          </w:p>
        </w:tc>
        <w:tc>
          <w:tcPr>
            <w:tcW w:w="1814" w:type="dxa"/>
            <w:tcBorders>
              <w:top w:val="nil"/>
              <w:left w:val="nil"/>
              <w:bottom w:val="nil"/>
            </w:tcBorders>
            <w:shd w:val="clear" w:color="auto" w:fill="FFFFFF"/>
            <w:vAlign w:val="center"/>
          </w:tcPr>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EB0D39" w:rsidRDefault="00262D7D" w:rsidP="00B74278">
            <w:pPr>
              <w:jc w:val="center"/>
              <w:rPr>
                <w:rFonts w:ascii="Arial" w:hAnsi="Arial" w:cs="Arial"/>
                <w:color w:val="6C6361"/>
                <w:szCs w:val="24"/>
              </w:rPr>
            </w:pPr>
          </w:p>
          <w:p w:rsidR="00262D7D" w:rsidRPr="002B466D" w:rsidRDefault="00262D7D" w:rsidP="00B74278">
            <w:pPr>
              <w:jc w:val="center"/>
              <w:rPr>
                <w:rFonts w:ascii="Arial" w:hAnsi="Arial" w:cs="Arial"/>
                <w:color w:val="6C6361"/>
                <w:sz w:val="24"/>
                <w:szCs w:val="24"/>
              </w:rPr>
            </w:pPr>
            <w:r w:rsidRPr="00EB0D39">
              <w:rPr>
                <w:rFonts w:ascii="Arial" w:hAnsi="Arial" w:cs="Arial"/>
                <w:noProof/>
                <w:color w:val="6C6361"/>
                <w:sz w:val="24"/>
                <w:szCs w:val="24"/>
              </w:rPr>
              <w:drawing>
                <wp:inline distT="0" distB="0" distL="0" distR="0" wp14:anchorId="3D70012B" wp14:editId="0CE9AD42">
                  <wp:extent cx="892800" cy="1018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262D7D" w:rsidRPr="002B466D" w:rsidRDefault="00262D7D" w:rsidP="00474066">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262D7D" w:rsidRPr="000762CF" w:rsidTr="006C3CB7">
        <w:trPr>
          <w:trHeight w:val="454"/>
          <w:jc w:val="center"/>
        </w:trPr>
        <w:tc>
          <w:tcPr>
            <w:tcW w:w="1701" w:type="dxa"/>
            <w:tcBorders>
              <w:top w:val="nil"/>
              <w:left w:val="nil"/>
              <w:bottom w:val="single" w:sz="12" w:space="0" w:color="FFFFFF"/>
            </w:tcBorders>
            <w:shd w:val="clear" w:color="auto" w:fill="F0EBE1"/>
            <w:vAlign w:val="center"/>
          </w:tcPr>
          <w:p w:rsidR="00262D7D" w:rsidRPr="000762CF" w:rsidRDefault="00262D7D" w:rsidP="0026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62D7D" w:rsidRPr="000762CF" w:rsidRDefault="00262D7D" w:rsidP="0026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EVT000000211</w:t>
            </w:r>
          </w:p>
        </w:tc>
        <w:tc>
          <w:tcPr>
            <w:tcW w:w="1701" w:type="dxa"/>
            <w:tcBorders>
              <w:top w:val="nil"/>
              <w:bottom w:val="single" w:sz="12" w:space="0" w:color="FFFFFF"/>
            </w:tcBorders>
            <w:shd w:val="clear" w:color="auto" w:fill="F0EBE1"/>
            <w:vAlign w:val="center"/>
          </w:tcPr>
          <w:p w:rsidR="00262D7D" w:rsidRPr="000762CF" w:rsidRDefault="00262D7D" w:rsidP="0026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62D7D" w:rsidRPr="000762CF" w:rsidRDefault="00262D7D" w:rsidP="0026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62D7D" w:rsidRPr="000762CF" w:rsidTr="006C3CB7">
        <w:trPr>
          <w:trHeight w:val="454"/>
          <w:jc w:val="center"/>
        </w:trPr>
        <w:tc>
          <w:tcPr>
            <w:tcW w:w="1701" w:type="dxa"/>
            <w:tcBorders>
              <w:top w:val="single" w:sz="12" w:space="0" w:color="FFFFFF"/>
              <w:left w:val="nil"/>
              <w:bottom w:val="single" w:sz="12" w:space="0" w:color="FFFFFF"/>
            </w:tcBorders>
            <w:shd w:val="clear" w:color="auto" w:fill="F0EBE1"/>
            <w:vAlign w:val="center"/>
          </w:tcPr>
          <w:p w:rsidR="00262D7D" w:rsidRPr="000762CF" w:rsidRDefault="00262D7D" w:rsidP="0026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62D7D" w:rsidRPr="00244945" w:rsidRDefault="00262D7D" w:rsidP="0026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9 March 2018 (Friday)</w:t>
            </w:r>
          </w:p>
        </w:tc>
        <w:tc>
          <w:tcPr>
            <w:tcW w:w="1701" w:type="dxa"/>
            <w:tcBorders>
              <w:top w:val="single" w:sz="12" w:space="0" w:color="FFFFFF"/>
              <w:bottom w:val="single" w:sz="12" w:space="0" w:color="FFFFFF"/>
            </w:tcBorders>
            <w:shd w:val="clear" w:color="auto" w:fill="F0EBE1"/>
            <w:vAlign w:val="center"/>
          </w:tcPr>
          <w:p w:rsidR="00262D7D" w:rsidRPr="000762CF" w:rsidRDefault="00262D7D" w:rsidP="0026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62D7D" w:rsidRPr="000762CF" w:rsidRDefault="00262D7D" w:rsidP="0026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474066" w:rsidRPr="000762CF" w:rsidTr="006C3CB7">
        <w:trPr>
          <w:trHeight w:val="454"/>
          <w:jc w:val="center"/>
        </w:trPr>
        <w:tc>
          <w:tcPr>
            <w:tcW w:w="1701" w:type="dxa"/>
            <w:tcBorders>
              <w:top w:val="single" w:sz="12" w:space="0" w:color="FFFFFF"/>
              <w:left w:val="nil"/>
              <w:bottom w:val="single" w:sz="12" w:space="0" w:color="FFFFFF"/>
            </w:tcBorders>
            <w:shd w:val="clear" w:color="auto" w:fill="F0EBE1"/>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74066" w:rsidRPr="00262D7D" w:rsidRDefault="00474066" w:rsidP="0026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w:t>
            </w:r>
            <w:r w:rsidRPr="000762CF">
              <w:rPr>
                <w:rFonts w:ascii="Arial" w:hAnsi="Arial" w:cs="Arial"/>
                <w:b/>
                <w:color w:val="6C6361"/>
                <w:sz w:val="20"/>
                <w:szCs w:val="20"/>
              </w:rPr>
              <w:t xml:space="preserve"> CPD </w:t>
            </w:r>
            <w:r w:rsidRPr="00997B4D">
              <w:rPr>
                <w:rFonts w:ascii="Arial" w:hAnsi="Arial" w:cs="Arial"/>
                <w:b/>
                <w:color w:val="6C6361"/>
                <w:sz w:val="20"/>
                <w:szCs w:val="20"/>
              </w:rPr>
              <w:t>Points</w:t>
            </w:r>
          </w:p>
        </w:tc>
      </w:tr>
      <w:tr w:rsidR="00474066" w:rsidRPr="000762CF" w:rsidTr="006C3CB7">
        <w:trPr>
          <w:trHeight w:val="1247"/>
          <w:jc w:val="center"/>
        </w:trPr>
        <w:tc>
          <w:tcPr>
            <w:tcW w:w="1701" w:type="dxa"/>
            <w:tcBorders>
              <w:top w:val="single" w:sz="12" w:space="0" w:color="FFFFFF"/>
              <w:left w:val="nil"/>
              <w:bottom w:val="nil"/>
            </w:tcBorders>
            <w:shd w:val="clear" w:color="auto" w:fill="F0EBE1"/>
            <w:vAlign w:val="center"/>
          </w:tcPr>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74066" w:rsidRPr="000762CF" w:rsidRDefault="00474066" w:rsidP="006C3CB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p>
          <w:p w:rsidR="00474066" w:rsidRPr="000762CF" w:rsidRDefault="00474066" w:rsidP="006C3CB7">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843D703" wp14:editId="1D9C4D42">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74066" w:rsidRPr="000762CF" w:rsidRDefault="00474066" w:rsidP="006C3CB7">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74066" w:rsidRPr="00156567"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04C952D" wp14:editId="65039BA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74066" w:rsidRDefault="00214BC6" w:rsidP="00474066"/>
    <w:sectPr w:rsidR="00214BC6" w:rsidRPr="0047406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DC6" w:rsidRDefault="00A26DC6" w:rsidP="00546556">
      <w:r>
        <w:separator/>
      </w:r>
    </w:p>
  </w:endnote>
  <w:endnote w:type="continuationSeparator" w:id="0">
    <w:p w:rsidR="00A26DC6" w:rsidRDefault="00A26DC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DC6" w:rsidRDefault="00A26DC6" w:rsidP="00546556">
      <w:r>
        <w:separator/>
      </w:r>
    </w:p>
  </w:footnote>
  <w:footnote w:type="continuationSeparator" w:id="0">
    <w:p w:rsidR="00A26DC6" w:rsidRDefault="00A26DC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RNgSobKyl+JAr5wEpe0oEoMr3Bwx43zmdiyC3+MV5Jsl9kTejuJ5SyZbHhG/scDvE6JBx1+0/0k/jIXWK2LmLg==" w:salt="TE3mfjMsKmIEgp610IqbO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1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BE91D-2CB5-4532-93ED-651892EB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CPD Course: Interlocutory Commercial Injunctions - The Laws, Procedures and Pitfalls</vt:lpstr>
    </vt:vector>
  </TitlesOfParts>
  <Manager>Tyrone Tsang</Manager>
  <Company>The Profectional Company Limited</Company>
  <LinksUpToDate>false</LinksUpToDate>
  <CharactersWithSpaces>4576</CharactersWithSpaces>
  <SharedDoc>false</SharedDoc>
  <HyperlinkBase>http://download.profectional.com/events/EVT000000211.docx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Interlocutory Commercial Injunctions - The Laws, Procedures and Pitfalls</dc:title>
  <dc:subject>CPD Course: Interlocutory Commercial Injunctions - The Laws, Procedures and Pitfalls</dc:subject>
  <dc:creator>The Profectional Company Limited</dc:creator>
  <cp:keywords>Profectional; Kornerstone; CPD; CPT; CLE; CE; RME; Roger So; Barrister-at-Law; Chartered Engineer; Accredited Mediator; Arbitrator</cp:keywords>
  <cp:lastModifiedBy>Tyrone Tsang</cp:lastModifiedBy>
  <cp:revision>21</cp:revision>
  <cp:lastPrinted>2017-08-30T11:55:00Z</cp:lastPrinted>
  <dcterms:created xsi:type="dcterms:W3CDTF">2015-05-28T16:24:00Z</dcterms:created>
  <dcterms:modified xsi:type="dcterms:W3CDTF">2018-03-09T03:52:00Z</dcterms:modified>
</cp:coreProperties>
</file>