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B14" w:rsidRPr="00895B14" w:rsidRDefault="00895B14" w:rsidP="00895B14">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895B14" w:rsidRPr="00523A64" w:rsidTr="00571A0B">
        <w:trPr>
          <w:trHeight w:val="3119"/>
          <w:jc w:val="center"/>
        </w:trPr>
        <w:tc>
          <w:tcPr>
            <w:tcW w:w="4820" w:type="dxa"/>
            <w:shd w:val="clear" w:color="auto" w:fill="FFFFFF"/>
            <w:vAlign w:val="center"/>
          </w:tcPr>
          <w:p w:rsidR="00895B14" w:rsidRPr="001A3018" w:rsidRDefault="00895B14" w:rsidP="00571A0B">
            <w:pPr>
              <w:jc w:val="center"/>
              <w:rPr>
                <w:rFonts w:ascii="Arial" w:hAnsi="Arial" w:cs="Arial"/>
                <w:b/>
                <w:bCs/>
                <w:color w:val="524B48"/>
                <w:sz w:val="4"/>
                <w:szCs w:val="4"/>
              </w:rPr>
            </w:pPr>
          </w:p>
          <w:p w:rsidR="00895B14" w:rsidRPr="00C109DF" w:rsidRDefault="00895B14" w:rsidP="00571A0B">
            <w:pPr>
              <w:jc w:val="center"/>
              <w:rPr>
                <w:rStyle w:val="Hyperlink"/>
                <w:rFonts w:ascii="Arial" w:hAnsi="Arial" w:cs="Arial"/>
                <w:b/>
                <w:bCs/>
                <w:color w:val="524B48"/>
                <w:sz w:val="32"/>
                <w:szCs w:val="32"/>
                <w:u w:val="none"/>
              </w:rPr>
            </w:pPr>
            <w:r w:rsidRPr="00CF685C">
              <w:fldChar w:fldCharType="begin"/>
            </w:r>
            <w:r>
              <w:instrText>HYPERLINK "http://cpd.hk/evt000000212/"</w:instrText>
            </w:r>
            <w:r w:rsidRPr="00CF685C">
              <w:fldChar w:fldCharType="separate"/>
            </w:r>
            <w:r>
              <w:rPr>
                <w:rStyle w:val="Hyperlink"/>
                <w:rFonts w:ascii="Arial" w:hAnsi="Arial" w:cs="Arial"/>
                <w:b/>
                <w:bCs/>
                <w:color w:val="524B48"/>
                <w:sz w:val="32"/>
                <w:szCs w:val="32"/>
                <w:u w:val="none"/>
              </w:rPr>
              <w:t>Professional Negligence</w:t>
            </w:r>
          </w:p>
          <w:p w:rsidR="00895B14" w:rsidRDefault="00895B14" w:rsidP="00571A0B">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Cases on</w:t>
            </w:r>
          </w:p>
          <w:p w:rsidR="00895B14" w:rsidRPr="00CF685C" w:rsidRDefault="00895B14" w:rsidP="00571A0B">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Solicitors’ Neglige</w:t>
            </w:r>
            <w:r w:rsidRPr="00C109DF">
              <w:rPr>
                <w:rStyle w:val="Hyperlink"/>
                <w:rFonts w:ascii="Arial" w:hAnsi="Arial" w:cs="Arial"/>
                <w:b/>
                <w:bCs/>
                <w:color w:val="524B48"/>
                <w:sz w:val="32"/>
                <w:szCs w:val="32"/>
                <w:u w:val="none"/>
              </w:rPr>
              <w:t>nce</w:t>
            </w:r>
          </w:p>
          <w:p w:rsidR="00895B14" w:rsidRPr="00C65AFD" w:rsidRDefault="00895B14" w:rsidP="00571A0B">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895B14" w:rsidRPr="00C65AFD" w:rsidRDefault="00895B14" w:rsidP="00571A0B">
            <w:pPr>
              <w:jc w:val="center"/>
              <w:rPr>
                <w:rFonts w:ascii="Arial" w:hAnsi="Arial" w:cs="Arial"/>
                <w:i/>
                <w:color w:val="6C6361"/>
                <w:sz w:val="24"/>
                <w:szCs w:val="24"/>
              </w:rPr>
            </w:pPr>
            <w:r w:rsidRPr="00C65AFD">
              <w:rPr>
                <w:rFonts w:ascii="Arial" w:hAnsi="Arial" w:cs="Arial"/>
                <w:i/>
                <w:color w:val="6C6361"/>
                <w:sz w:val="24"/>
                <w:szCs w:val="24"/>
              </w:rPr>
              <w:t>by</w:t>
            </w:r>
          </w:p>
          <w:p w:rsidR="00895B14" w:rsidRPr="00A35F54" w:rsidRDefault="00895B14" w:rsidP="00571A0B">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D</w:t>
              </w:r>
              <w:r w:rsidRPr="00A35F5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Roger So</w:t>
              </w:r>
            </w:hyperlink>
            <w:r w:rsidRPr="00A35F54">
              <w:rPr>
                <w:rFonts w:ascii="Arial" w:hAnsi="Arial" w:cs="Arial"/>
                <w:color w:val="6C6361"/>
                <w:sz w:val="24"/>
                <w:szCs w:val="24"/>
              </w:rPr>
              <w:t>,</w:t>
            </w:r>
          </w:p>
          <w:p w:rsidR="00895B14" w:rsidRPr="002B466D" w:rsidRDefault="00895B14" w:rsidP="00571A0B">
            <w:pPr>
              <w:jc w:val="center"/>
              <w:rPr>
                <w:rFonts w:ascii="Arial" w:hAnsi="Arial" w:cs="Arial"/>
                <w:color w:val="6C6361"/>
                <w:sz w:val="24"/>
                <w:szCs w:val="24"/>
              </w:rPr>
            </w:pPr>
            <w:r w:rsidRPr="002B466D">
              <w:rPr>
                <w:rFonts w:ascii="Arial" w:hAnsi="Arial" w:cs="Arial"/>
                <w:color w:val="6C6361"/>
                <w:sz w:val="24"/>
                <w:szCs w:val="24"/>
              </w:rPr>
              <w:t>Barrister-at-Law, Chartered Engineer,</w:t>
            </w:r>
          </w:p>
          <w:p w:rsidR="00895B14" w:rsidRPr="00D87ECF" w:rsidRDefault="00895B14" w:rsidP="00571A0B">
            <w:pPr>
              <w:jc w:val="center"/>
              <w:rPr>
                <w:rFonts w:ascii="Arial" w:hAnsi="Arial" w:cs="Arial"/>
                <w:color w:val="6C6361"/>
                <w:sz w:val="8"/>
                <w:szCs w:val="8"/>
              </w:rPr>
            </w:pPr>
            <w:r w:rsidRPr="002B466D">
              <w:rPr>
                <w:rFonts w:ascii="Arial" w:hAnsi="Arial" w:cs="Arial"/>
                <w:color w:val="6C6361"/>
                <w:sz w:val="24"/>
                <w:szCs w:val="24"/>
              </w:rPr>
              <w:t>Accredited Mediator, Arbitrator</w:t>
            </w:r>
          </w:p>
        </w:tc>
        <w:tc>
          <w:tcPr>
            <w:tcW w:w="5954" w:type="dxa"/>
            <w:shd w:val="clear" w:color="auto" w:fill="FFFFFF"/>
            <w:vAlign w:val="center"/>
          </w:tcPr>
          <w:p w:rsidR="00895B14" w:rsidRPr="00D50772" w:rsidRDefault="00895B14" w:rsidP="00571A0B">
            <w:pPr>
              <w:spacing w:line="276" w:lineRule="auto"/>
              <w:jc w:val="center"/>
              <w:rPr>
                <w:rFonts w:ascii="Arial" w:eastAsia="Times New Roman" w:hAnsi="Arial" w:cs="Arial"/>
                <w:noProof/>
                <w:sz w:val="20"/>
                <w:szCs w:val="20"/>
              </w:rPr>
            </w:pPr>
            <w:r w:rsidRPr="00412842">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4DB78212" wp14:editId="1405C4F5">
                  <wp:simplePos x="0" y="0"/>
                  <wp:positionH relativeFrom="column">
                    <wp:posOffset>3192780</wp:posOffset>
                  </wp:positionH>
                  <wp:positionV relativeFrom="paragraph">
                    <wp:posOffset>-55880</wp:posOffset>
                  </wp:positionV>
                  <wp:extent cx="525145" cy="532765"/>
                  <wp:effectExtent l="0" t="0" r="8255" b="63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14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C61AB5E" wp14:editId="09F8101D">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895B14" w:rsidRDefault="00895B14" w:rsidP="00895B14">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895B14" w:rsidRPr="002B466D" w:rsidTr="00571A0B">
        <w:trPr>
          <w:trHeight w:val="7518"/>
          <w:jc w:val="center"/>
        </w:trPr>
        <w:tc>
          <w:tcPr>
            <w:tcW w:w="1985" w:type="dxa"/>
            <w:shd w:val="clear" w:color="auto" w:fill="FFFFFF"/>
            <w:vAlign w:val="center"/>
          </w:tcPr>
          <w:p w:rsidR="00895B14" w:rsidRPr="002B466D" w:rsidRDefault="00895B14" w:rsidP="00571A0B">
            <w:pPr>
              <w:spacing w:line="276" w:lineRule="auto"/>
              <w:jc w:val="center"/>
              <w:rPr>
                <w:rFonts w:ascii="Arial" w:hAnsi="Arial" w:cs="Arial"/>
                <w:sz w:val="24"/>
                <w:szCs w:val="24"/>
              </w:rPr>
            </w:pPr>
            <w:r w:rsidRPr="002B466D">
              <w:rPr>
                <w:rFonts w:ascii="Arial" w:hAnsi="Arial" w:cs="Arial"/>
                <w:noProof/>
                <w:sz w:val="24"/>
                <w:szCs w:val="24"/>
              </w:rPr>
              <w:drawing>
                <wp:inline distT="0" distB="0" distL="0" distR="0" wp14:anchorId="0C8EEFA5" wp14:editId="628C4EE0">
                  <wp:extent cx="1079997" cy="1439996"/>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extLst>
                              <a:ext uri="{28A0092B-C50C-407E-A947-70E740481C1C}">
                                <a14:useLocalDpi xmlns:a14="http://schemas.microsoft.com/office/drawing/2010/main" val="0"/>
                              </a:ext>
                            </a:extLst>
                          </a:blip>
                          <a:stretch>
                            <a:fillRect/>
                          </a:stretch>
                        </pic:blipFill>
                        <pic:spPr>
                          <a:xfrm>
                            <a:off x="0" y="0"/>
                            <a:ext cx="1079997" cy="1439996"/>
                          </a:xfrm>
                          <a:prstGeom prst="rect">
                            <a:avLst/>
                          </a:prstGeom>
                        </pic:spPr>
                      </pic:pic>
                    </a:graphicData>
                  </a:graphic>
                </wp:inline>
              </w:drawing>
            </w:r>
          </w:p>
        </w:tc>
        <w:tc>
          <w:tcPr>
            <w:tcW w:w="8788" w:type="dxa"/>
            <w:shd w:val="clear" w:color="auto" w:fill="FFFFFF"/>
            <w:vAlign w:val="center"/>
          </w:tcPr>
          <w:p w:rsidR="00895B14" w:rsidRPr="00F55777" w:rsidRDefault="00895B14" w:rsidP="00895B14">
            <w:pPr>
              <w:pStyle w:val="NormalWeb"/>
              <w:spacing w:before="0" w:beforeAutospacing="0" w:after="0" w:afterAutospacing="0"/>
              <w:ind w:right="33"/>
              <w:jc w:val="both"/>
              <w:rPr>
                <w:rFonts w:ascii="Arial" w:hAnsi="Arial" w:cs="Arial"/>
                <w:color w:val="6C6361"/>
              </w:rPr>
            </w:pPr>
            <w:r w:rsidRPr="00F55777">
              <w:rPr>
                <w:rFonts w:ascii="Arial" w:hAnsi="Arial" w:cs="Arial"/>
                <w:color w:val="6C6361"/>
              </w:rPr>
              <w:t>Dr. Roger So is a Barrister-at-Law, a Chartered Engineer, an experienced accredited mediator and an arbitrator.  He is on the List of Mediators and List of Arbitrators administered by the Hong Kong Bar Association, and the List of Arbitrators and Mediators maintained by the Hong Kong Institution of Engineers.  He is also a Fellow member of the Hong Kong Institute of Arbitrators and a Corporate member of the Hong Kong Institution of Engineers.</w:t>
            </w:r>
          </w:p>
          <w:p w:rsidR="00895B14" w:rsidRPr="00F55777" w:rsidRDefault="00895B14" w:rsidP="00895B14">
            <w:pPr>
              <w:pStyle w:val="NormalWeb"/>
              <w:spacing w:before="0" w:beforeAutospacing="0" w:after="0" w:afterAutospacing="0"/>
              <w:ind w:right="33"/>
              <w:jc w:val="both"/>
              <w:rPr>
                <w:rFonts w:ascii="Arial" w:hAnsi="Arial" w:cs="Arial"/>
                <w:color w:val="6C6361"/>
                <w:sz w:val="12"/>
                <w:szCs w:val="12"/>
              </w:rPr>
            </w:pPr>
          </w:p>
          <w:p w:rsidR="00895B14" w:rsidRPr="00F55777" w:rsidRDefault="00895B14" w:rsidP="00895B14">
            <w:pPr>
              <w:pStyle w:val="NormalWeb"/>
              <w:spacing w:before="0" w:beforeAutospacing="0" w:after="0" w:afterAutospacing="0"/>
              <w:ind w:right="33"/>
              <w:jc w:val="both"/>
              <w:rPr>
                <w:rFonts w:ascii="Arial" w:hAnsi="Arial" w:cs="Arial"/>
                <w:color w:val="6C6361"/>
              </w:rPr>
            </w:pPr>
            <w:r w:rsidRPr="00F55777">
              <w:rPr>
                <w:rFonts w:ascii="Arial" w:hAnsi="Arial" w:cs="Arial"/>
                <w:color w:val="6C6361"/>
              </w:rPr>
              <w:t xml:space="preserve">Dr. So has a broad civil and criminal practice, including general commercial disputes, property disputes, matrimonial and family disputes, personal injuries disputes, construction disputes, etc.  He regularly appears for the prosecution and </w:t>
            </w:r>
            <w:proofErr w:type="spellStart"/>
            <w:r w:rsidRPr="00F55777">
              <w:rPr>
                <w:rFonts w:ascii="Arial" w:hAnsi="Arial" w:cs="Arial"/>
                <w:color w:val="6C6361"/>
              </w:rPr>
              <w:t>defence</w:t>
            </w:r>
            <w:proofErr w:type="spellEnd"/>
            <w:r w:rsidRPr="00F55777">
              <w:rPr>
                <w:rFonts w:ascii="Arial" w:hAnsi="Arial" w:cs="Arial"/>
                <w:color w:val="6C6361"/>
              </w:rPr>
              <w:t xml:space="preserve"> in criminal cases.  He has served as the legal advisor to a Disciplinary Tribunal in addition to handling several civil proceedings.  Prior to becoming a barrister, he has over 20 years of engineering and project management experience </w:t>
            </w:r>
            <w:proofErr w:type="spellStart"/>
            <w:r w:rsidRPr="00F55777">
              <w:rPr>
                <w:rFonts w:ascii="Arial" w:hAnsi="Arial" w:cs="Arial"/>
                <w:color w:val="6C6361"/>
              </w:rPr>
              <w:t>specialising</w:t>
            </w:r>
            <w:proofErr w:type="spellEnd"/>
            <w:r w:rsidRPr="00F55777">
              <w:rPr>
                <w:rFonts w:ascii="Arial" w:hAnsi="Arial" w:cs="Arial"/>
                <w:color w:val="6C6361"/>
              </w:rPr>
              <w:t xml:space="preserve"> in the design and construction of railway extensions in Hong Kong and overseas.</w:t>
            </w:r>
          </w:p>
          <w:p w:rsidR="00895B14" w:rsidRPr="00F55777" w:rsidRDefault="00895B14" w:rsidP="00895B14">
            <w:pPr>
              <w:pStyle w:val="NormalWeb"/>
              <w:spacing w:before="0" w:beforeAutospacing="0" w:after="0" w:afterAutospacing="0"/>
              <w:ind w:right="33"/>
              <w:jc w:val="both"/>
              <w:rPr>
                <w:rFonts w:ascii="Arial" w:hAnsi="Arial" w:cs="Arial"/>
                <w:color w:val="6C6361"/>
                <w:sz w:val="12"/>
                <w:szCs w:val="12"/>
              </w:rPr>
            </w:pPr>
          </w:p>
          <w:p w:rsidR="00895B14" w:rsidRPr="00F55777" w:rsidRDefault="00895B14" w:rsidP="00895B14">
            <w:pPr>
              <w:pStyle w:val="NormalWeb"/>
              <w:spacing w:before="0" w:beforeAutospacing="0" w:after="0" w:afterAutospacing="0"/>
              <w:ind w:right="33"/>
              <w:jc w:val="both"/>
              <w:rPr>
                <w:rFonts w:ascii="Arial" w:hAnsi="Arial" w:cs="Arial"/>
                <w:color w:val="6C6361"/>
              </w:rPr>
            </w:pPr>
            <w:r w:rsidRPr="00F55777">
              <w:rPr>
                <w:rFonts w:ascii="Arial" w:hAnsi="Arial" w:cs="Arial"/>
                <w:color w:val="6C6361"/>
              </w:rPr>
              <w:t xml:space="preserve">His academic credentials include Doctor of Business Administration (The University of Newcastle, Australia), PCLL, JD, MA in Arbitration &amp; Disputes Resolution, and BSc (Hon) Engineering.  Apart from acting as the mediator, Dr. So has also served as mediation coach to mediation courses offered by the </w:t>
            </w:r>
            <w:proofErr w:type="spellStart"/>
            <w:r w:rsidRPr="00F55777">
              <w:rPr>
                <w:rFonts w:ascii="Arial" w:hAnsi="Arial" w:cs="Arial"/>
                <w:color w:val="6C6361"/>
              </w:rPr>
              <w:t>Shue</w:t>
            </w:r>
            <w:proofErr w:type="spellEnd"/>
            <w:r w:rsidRPr="00F55777">
              <w:rPr>
                <w:rFonts w:ascii="Arial" w:hAnsi="Arial" w:cs="Arial"/>
                <w:color w:val="6C6361"/>
              </w:rPr>
              <w:t xml:space="preserve"> Yan University, and has provided mediation training to the Shantou University Law School.</w:t>
            </w:r>
          </w:p>
          <w:p w:rsidR="00895B14" w:rsidRPr="00F55777" w:rsidRDefault="00895B14" w:rsidP="00895B14">
            <w:pPr>
              <w:pStyle w:val="NormalWeb"/>
              <w:spacing w:before="0" w:beforeAutospacing="0" w:after="0" w:afterAutospacing="0"/>
              <w:ind w:right="33"/>
              <w:jc w:val="both"/>
              <w:rPr>
                <w:rFonts w:ascii="Arial" w:hAnsi="Arial" w:cs="Arial"/>
                <w:color w:val="6C6361"/>
                <w:sz w:val="12"/>
                <w:szCs w:val="12"/>
              </w:rPr>
            </w:pPr>
          </w:p>
          <w:p w:rsidR="00895B14" w:rsidRPr="002B466D" w:rsidRDefault="00895B14" w:rsidP="00895B14">
            <w:pPr>
              <w:pStyle w:val="NormalWeb"/>
              <w:spacing w:before="0" w:beforeAutospacing="0" w:after="0" w:afterAutospacing="0"/>
              <w:ind w:right="33"/>
              <w:jc w:val="both"/>
              <w:rPr>
                <w:rFonts w:ascii="Arial" w:hAnsi="Arial" w:cs="Arial"/>
                <w:color w:val="6C6361"/>
              </w:rPr>
            </w:pPr>
            <w:r w:rsidRPr="00F55777">
              <w:rPr>
                <w:rFonts w:ascii="Arial" w:hAnsi="Arial" w:cs="Arial"/>
                <w:color w:val="6C6361"/>
              </w:rPr>
              <w:t>Dr. So has delivered over ten 2-hour and 3-hour CPD seminars accredited by the Law Society of Hong Kong and the HKMAAL.  Besides, he has also published three Chinese journal articles on Water Seepage Claims and Interlocutory Injunctions, two journal articles on property in human tissues and several engineering articles on various topics.</w:t>
            </w:r>
          </w:p>
        </w:tc>
      </w:tr>
    </w:tbl>
    <w:p w:rsidR="00895B14" w:rsidRPr="002B466D" w:rsidRDefault="00895B14" w:rsidP="00895B14">
      <w:pPr>
        <w:spacing w:line="276" w:lineRule="auto"/>
        <w:jc w:val="left"/>
        <w:rPr>
          <w:rFonts w:ascii="Arial" w:hAnsi="Arial" w:cs="Arial"/>
          <w:sz w:val="20"/>
          <w:szCs w:val="18"/>
        </w:rPr>
      </w:pPr>
    </w:p>
    <w:tbl>
      <w:tblPr>
        <w:tblW w:w="10773" w:type="dxa"/>
        <w:jc w:val="center"/>
        <w:tblBorders>
          <w:bottom w:val="single" w:sz="12" w:space="0" w:color="FFFFFF"/>
        </w:tblBorders>
        <w:tblLook w:val="04A0" w:firstRow="1" w:lastRow="0" w:firstColumn="1" w:lastColumn="0" w:noHBand="0" w:noVBand="1"/>
      </w:tblPr>
      <w:tblGrid>
        <w:gridCol w:w="10773"/>
      </w:tblGrid>
      <w:tr w:rsidR="00895B14" w:rsidRPr="002B466D" w:rsidTr="00571A0B">
        <w:trPr>
          <w:trHeight w:val="2892"/>
          <w:jc w:val="center"/>
        </w:trPr>
        <w:tc>
          <w:tcPr>
            <w:tcW w:w="10773" w:type="dxa"/>
            <w:tcBorders>
              <w:top w:val="nil"/>
              <w:bottom w:val="nil"/>
            </w:tcBorders>
            <w:shd w:val="clear" w:color="auto" w:fill="FFFFFF" w:themeFill="background1"/>
            <w:vAlign w:val="center"/>
          </w:tcPr>
          <w:p w:rsidR="00895B14" w:rsidRPr="00447562" w:rsidRDefault="00895B14" w:rsidP="00571A0B">
            <w:pPr>
              <w:ind w:right="33"/>
              <w:rPr>
                <w:rFonts w:ascii="Arial" w:hAnsi="Arial" w:cs="Arial"/>
                <w:i/>
                <w:color w:val="6C6361"/>
                <w:sz w:val="24"/>
                <w:szCs w:val="24"/>
              </w:rPr>
            </w:pPr>
            <w:r w:rsidRPr="00447562">
              <w:rPr>
                <w:rFonts w:ascii="Arial" w:hAnsi="Arial" w:cs="Arial"/>
                <w:i/>
                <w:color w:val="6C6361"/>
                <w:sz w:val="24"/>
                <w:szCs w:val="24"/>
              </w:rPr>
              <w:t>"Anecdotal evidence suggests that over the last few decades the average... solicitor... has increasingly faced clients who are very demanding, pay as little as they can, have little respect for their advisers, and... do not hesitate to blame them if anything goes wrong.  One may argue as to whether or not these changes are for the better, but it must be highly likely that they have led to an increase in litigation against [solicitors]"</w:t>
            </w:r>
          </w:p>
          <w:p w:rsidR="00895B14" w:rsidRPr="00311ABB" w:rsidRDefault="00895B14" w:rsidP="00571A0B">
            <w:pPr>
              <w:ind w:right="33"/>
              <w:rPr>
                <w:rFonts w:ascii="Arial" w:hAnsi="Arial" w:cs="Arial"/>
                <w:color w:val="6C6361"/>
                <w:sz w:val="12"/>
                <w:szCs w:val="6"/>
              </w:rPr>
            </w:pPr>
          </w:p>
          <w:p w:rsidR="00895B14" w:rsidRPr="002B466D" w:rsidRDefault="00895B14" w:rsidP="00571A0B">
            <w:pPr>
              <w:ind w:right="33"/>
              <w:rPr>
                <w:rFonts w:ascii="Arial" w:hAnsi="Arial" w:cs="Arial"/>
                <w:color w:val="6C6361"/>
                <w:sz w:val="24"/>
                <w:szCs w:val="24"/>
              </w:rPr>
            </w:pPr>
            <w:r w:rsidRPr="002B466D">
              <w:rPr>
                <w:rFonts w:ascii="Arial" w:hAnsi="Arial" w:cs="Arial"/>
                <w:color w:val="6C6361"/>
                <w:sz w:val="24"/>
                <w:szCs w:val="24"/>
              </w:rPr>
              <w:t>(Evans, H, "The rise and fall of professional negligence: One practitioner's view", Professional Negligence, vol. 21, no. 1, 2005, 27-38, 31.)</w:t>
            </w:r>
          </w:p>
          <w:p w:rsidR="00895B14" w:rsidRPr="00EB0775" w:rsidRDefault="00895B14" w:rsidP="00571A0B">
            <w:pPr>
              <w:ind w:right="33"/>
              <w:rPr>
                <w:rFonts w:ascii="Arial" w:hAnsi="Arial" w:cs="Arial"/>
                <w:color w:val="6C6361"/>
                <w:sz w:val="12"/>
                <w:szCs w:val="12"/>
              </w:rPr>
            </w:pPr>
          </w:p>
          <w:p w:rsidR="00895B14" w:rsidRPr="002B466D" w:rsidRDefault="00895B14" w:rsidP="00571A0B">
            <w:pPr>
              <w:ind w:right="33"/>
              <w:rPr>
                <w:rFonts w:ascii="Arial" w:hAnsi="Arial" w:cs="Arial"/>
                <w:color w:val="6C6361"/>
                <w:sz w:val="24"/>
                <w:szCs w:val="24"/>
              </w:rPr>
            </w:pPr>
            <w:r w:rsidRPr="002B466D">
              <w:rPr>
                <w:rFonts w:ascii="Arial" w:hAnsi="Arial" w:cs="Arial"/>
                <w:color w:val="6C6361"/>
                <w:sz w:val="24"/>
                <w:szCs w:val="24"/>
              </w:rPr>
              <w:t>Whilst the above remark refers to the UK situation, the same can be said to be increasingly applicable in Hong Kong.</w:t>
            </w:r>
          </w:p>
        </w:tc>
      </w:tr>
    </w:tbl>
    <w:p w:rsidR="00895B14" w:rsidRPr="00895B14" w:rsidRDefault="00895B14" w:rsidP="00895B14">
      <w:pPr>
        <w:spacing w:line="276" w:lineRule="auto"/>
        <w:jc w:val="left"/>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9057"/>
        <w:gridCol w:w="1716"/>
      </w:tblGrid>
      <w:tr w:rsidR="00895B14" w:rsidRPr="002B466D" w:rsidTr="00571A0B">
        <w:trPr>
          <w:trHeight w:val="2693"/>
          <w:jc w:val="center"/>
        </w:trPr>
        <w:tc>
          <w:tcPr>
            <w:tcW w:w="10773" w:type="dxa"/>
            <w:gridSpan w:val="2"/>
            <w:tcBorders>
              <w:top w:val="nil"/>
              <w:bottom w:val="nil"/>
            </w:tcBorders>
            <w:shd w:val="clear" w:color="auto" w:fill="FFFFFF" w:themeFill="background1"/>
            <w:vAlign w:val="center"/>
          </w:tcPr>
          <w:p w:rsidR="00895B14" w:rsidRDefault="00895B14" w:rsidP="00571A0B">
            <w:pPr>
              <w:ind w:right="33"/>
              <w:rPr>
                <w:rFonts w:ascii="Arial" w:hAnsi="Arial" w:cs="Arial"/>
                <w:color w:val="6C6361"/>
                <w:sz w:val="24"/>
                <w:szCs w:val="24"/>
              </w:rPr>
            </w:pPr>
            <w:r w:rsidRPr="002B466D">
              <w:rPr>
                <w:rFonts w:ascii="Arial" w:hAnsi="Arial" w:cs="Arial"/>
                <w:color w:val="6C6361"/>
                <w:sz w:val="24"/>
                <w:szCs w:val="24"/>
              </w:rPr>
              <w:lastRenderedPageBreak/>
              <w:t xml:space="preserve">This course is intended to provide a concise and yet comprehensive coverage of the law in this area, supplement with a practical guideline against the pitfalls </w:t>
            </w:r>
            <w:r>
              <w:rPr>
                <w:rFonts w:ascii="Arial" w:hAnsi="Arial" w:cs="Arial"/>
                <w:color w:val="6C6361"/>
                <w:sz w:val="24"/>
                <w:szCs w:val="24"/>
              </w:rPr>
              <w:t>in solicitors' negligence.</w:t>
            </w:r>
          </w:p>
          <w:p w:rsidR="00895B14" w:rsidRPr="00EB0775" w:rsidRDefault="00895B14" w:rsidP="00571A0B">
            <w:pPr>
              <w:ind w:right="33"/>
              <w:rPr>
                <w:rFonts w:ascii="Arial" w:hAnsi="Arial" w:cs="Arial"/>
                <w:color w:val="6C6361"/>
                <w:sz w:val="12"/>
                <w:szCs w:val="12"/>
              </w:rPr>
            </w:pPr>
          </w:p>
          <w:p w:rsidR="00895B14" w:rsidRPr="002B466D" w:rsidRDefault="00895B14" w:rsidP="00571A0B">
            <w:pPr>
              <w:ind w:right="33"/>
              <w:rPr>
                <w:rFonts w:ascii="Arial" w:hAnsi="Arial" w:cs="Arial"/>
                <w:color w:val="6C6361"/>
                <w:sz w:val="24"/>
                <w:szCs w:val="24"/>
              </w:rPr>
            </w:pPr>
            <w:r w:rsidRPr="002B466D">
              <w:rPr>
                <w:rFonts w:ascii="Arial" w:hAnsi="Arial" w:cs="Arial"/>
                <w:color w:val="6C6361"/>
                <w:sz w:val="24"/>
                <w:szCs w:val="24"/>
              </w:rPr>
              <w:t>At the end of the course, participants should be able to:</w:t>
            </w:r>
          </w:p>
          <w:p w:rsidR="00895B14" w:rsidRPr="00EB0775" w:rsidRDefault="00895B14" w:rsidP="00571A0B">
            <w:pPr>
              <w:ind w:right="33"/>
              <w:rPr>
                <w:rFonts w:ascii="Arial" w:hAnsi="Arial" w:cs="Arial"/>
                <w:color w:val="6C6361"/>
                <w:sz w:val="12"/>
                <w:szCs w:val="12"/>
              </w:rPr>
            </w:pPr>
          </w:p>
          <w:p w:rsidR="00895B14" w:rsidRDefault="00895B14" w:rsidP="00571A0B">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Understand the principles governing the liability aspects of solicitors’ negligence claims;</w:t>
            </w:r>
          </w:p>
          <w:p w:rsidR="00895B14" w:rsidRDefault="00895B14" w:rsidP="00571A0B">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Understand the principles governing the quantum aspects of solicitors’ negligence claims;</w:t>
            </w:r>
          </w:p>
          <w:p w:rsidR="00895B14" w:rsidRDefault="00895B14" w:rsidP="00571A0B">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 xml:space="preserve">Grasp the available </w:t>
            </w:r>
            <w:proofErr w:type="spellStart"/>
            <w:r w:rsidRPr="002B466D">
              <w:rPr>
                <w:rFonts w:ascii="Arial" w:hAnsi="Arial" w:cs="Arial"/>
                <w:color w:val="6C6361"/>
                <w:sz w:val="24"/>
                <w:szCs w:val="24"/>
              </w:rPr>
              <w:t>defences</w:t>
            </w:r>
            <w:proofErr w:type="spellEnd"/>
            <w:r w:rsidRPr="002B466D">
              <w:rPr>
                <w:rFonts w:ascii="Arial" w:hAnsi="Arial" w:cs="Arial"/>
                <w:color w:val="6C6361"/>
                <w:sz w:val="24"/>
                <w:szCs w:val="24"/>
              </w:rPr>
              <w:t xml:space="preserve"> to such claims;</w:t>
            </w:r>
          </w:p>
          <w:p w:rsidR="00895B14" w:rsidRDefault="00895B14" w:rsidP="00571A0B">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Appreciate the lessons learnt from selected case studies; and</w:t>
            </w:r>
          </w:p>
          <w:p w:rsidR="00895B14" w:rsidRPr="002B466D" w:rsidRDefault="00895B14" w:rsidP="00571A0B">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Assess the likely issues on solicitors’ negligence in a given context</w:t>
            </w:r>
          </w:p>
        </w:tc>
      </w:tr>
      <w:tr w:rsidR="00895B14" w:rsidRPr="002B466D" w:rsidTr="00571A0B">
        <w:trPr>
          <w:trHeight w:val="454"/>
          <w:jc w:val="center"/>
        </w:trPr>
        <w:tc>
          <w:tcPr>
            <w:tcW w:w="10773" w:type="dxa"/>
            <w:gridSpan w:val="2"/>
            <w:tcBorders>
              <w:top w:val="nil"/>
              <w:bottom w:val="nil"/>
            </w:tcBorders>
            <w:shd w:val="clear" w:color="auto" w:fill="F0EBE1"/>
            <w:vAlign w:val="center"/>
          </w:tcPr>
          <w:p w:rsidR="00895B14" w:rsidRPr="002B466D" w:rsidRDefault="00895B14" w:rsidP="00571A0B">
            <w:pPr>
              <w:rPr>
                <w:rFonts w:ascii="Arial" w:hAnsi="Arial" w:cs="Arial"/>
                <w:b/>
                <w:color w:val="524B48"/>
                <w:sz w:val="24"/>
                <w:szCs w:val="24"/>
              </w:rPr>
            </w:pPr>
            <w:r w:rsidRPr="002B466D">
              <w:rPr>
                <w:rFonts w:ascii="Arial" w:hAnsi="Arial" w:cs="Arial"/>
                <w:b/>
                <w:color w:val="524B48"/>
                <w:sz w:val="24"/>
                <w:szCs w:val="24"/>
              </w:rPr>
              <w:t>This course will cover the followings:</w:t>
            </w:r>
          </w:p>
        </w:tc>
      </w:tr>
      <w:tr w:rsidR="00895B14" w:rsidRPr="002B466D" w:rsidTr="00571A0B">
        <w:trPr>
          <w:trHeight w:val="2385"/>
          <w:jc w:val="center"/>
        </w:trPr>
        <w:tc>
          <w:tcPr>
            <w:tcW w:w="9057" w:type="dxa"/>
            <w:tcBorders>
              <w:top w:val="nil"/>
              <w:bottom w:val="nil"/>
              <w:right w:val="nil"/>
            </w:tcBorders>
            <w:shd w:val="clear" w:color="auto" w:fill="FFFFFF"/>
            <w:vAlign w:val="center"/>
          </w:tcPr>
          <w:p w:rsidR="00895B14" w:rsidRPr="002B466D" w:rsidRDefault="00895B14" w:rsidP="00571A0B">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Introduction</w:t>
            </w:r>
          </w:p>
          <w:p w:rsidR="00895B14" w:rsidRPr="002B466D" w:rsidRDefault="00895B14" w:rsidP="00571A0B">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The solicitor's duties in contract and tort</w:t>
            </w:r>
          </w:p>
          <w:p w:rsidR="00895B14" w:rsidRPr="002B466D" w:rsidRDefault="00895B14" w:rsidP="00571A0B">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The standard of care and breach of duty</w:t>
            </w:r>
          </w:p>
          <w:p w:rsidR="00895B14" w:rsidRPr="002B466D" w:rsidRDefault="00895B14" w:rsidP="00571A0B">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The causation and quantum of damages in contract and tort</w:t>
            </w:r>
          </w:p>
          <w:p w:rsidR="00895B14" w:rsidRPr="002B466D" w:rsidRDefault="00895B14" w:rsidP="00571A0B">
            <w:pPr>
              <w:pStyle w:val="ListParagraph"/>
              <w:numPr>
                <w:ilvl w:val="0"/>
                <w:numId w:val="2"/>
              </w:numPr>
              <w:ind w:right="-108"/>
              <w:rPr>
                <w:rFonts w:ascii="Arial" w:hAnsi="Arial" w:cs="Arial"/>
                <w:color w:val="6C6361"/>
                <w:sz w:val="24"/>
                <w:szCs w:val="24"/>
              </w:rPr>
            </w:pPr>
            <w:proofErr w:type="spellStart"/>
            <w:r w:rsidRPr="002B466D">
              <w:rPr>
                <w:rFonts w:ascii="Arial" w:hAnsi="Arial" w:cs="Arial"/>
                <w:color w:val="6C6361"/>
                <w:sz w:val="24"/>
                <w:szCs w:val="24"/>
              </w:rPr>
              <w:t>Defences</w:t>
            </w:r>
            <w:proofErr w:type="spellEnd"/>
            <w:r w:rsidRPr="002B466D">
              <w:rPr>
                <w:rFonts w:ascii="Arial" w:hAnsi="Arial" w:cs="Arial"/>
                <w:color w:val="6C6361"/>
                <w:sz w:val="24"/>
                <w:szCs w:val="24"/>
              </w:rPr>
              <w:t xml:space="preserve"> and limitation</w:t>
            </w:r>
          </w:p>
          <w:p w:rsidR="00895B14" w:rsidRPr="002B466D" w:rsidRDefault="00895B14" w:rsidP="00571A0B">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Illustration</w:t>
            </w:r>
          </w:p>
          <w:p w:rsidR="00895B14" w:rsidRPr="002B466D" w:rsidRDefault="00895B14" w:rsidP="00571A0B">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Guideline</w:t>
            </w:r>
            <w:r>
              <w:rPr>
                <w:rFonts w:ascii="Arial" w:hAnsi="Arial" w:cs="Arial"/>
                <w:color w:val="6C6361"/>
                <w:sz w:val="24"/>
                <w:szCs w:val="24"/>
              </w:rPr>
              <w:t>s</w:t>
            </w:r>
            <w:r w:rsidRPr="002B466D">
              <w:rPr>
                <w:rFonts w:ascii="Arial" w:hAnsi="Arial" w:cs="Arial"/>
                <w:color w:val="6C6361"/>
                <w:sz w:val="24"/>
                <w:szCs w:val="24"/>
              </w:rPr>
              <w:t xml:space="preserve"> to avoid solicitors' negligence</w:t>
            </w:r>
          </w:p>
          <w:p w:rsidR="00895B14" w:rsidRPr="002B466D" w:rsidRDefault="00895B14" w:rsidP="00571A0B">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Questions and answers</w:t>
            </w:r>
          </w:p>
        </w:tc>
        <w:tc>
          <w:tcPr>
            <w:tcW w:w="1716" w:type="dxa"/>
            <w:tcBorders>
              <w:top w:val="nil"/>
              <w:left w:val="nil"/>
              <w:bottom w:val="nil"/>
            </w:tcBorders>
            <w:shd w:val="clear" w:color="auto" w:fill="FFFFFF"/>
            <w:vAlign w:val="center"/>
          </w:tcPr>
          <w:p w:rsidR="00895B14" w:rsidRPr="00412842" w:rsidRDefault="00895B14" w:rsidP="00571A0B">
            <w:pPr>
              <w:jc w:val="center"/>
              <w:rPr>
                <w:rFonts w:ascii="Arial" w:hAnsi="Arial" w:cs="Arial"/>
                <w:color w:val="6C6361"/>
                <w:szCs w:val="24"/>
              </w:rPr>
            </w:pPr>
          </w:p>
          <w:p w:rsidR="00895B14" w:rsidRPr="00412842" w:rsidRDefault="00895B14" w:rsidP="00571A0B">
            <w:pPr>
              <w:jc w:val="center"/>
              <w:rPr>
                <w:rFonts w:ascii="Arial" w:hAnsi="Arial" w:cs="Arial"/>
                <w:color w:val="6C6361"/>
                <w:szCs w:val="24"/>
              </w:rPr>
            </w:pPr>
          </w:p>
          <w:p w:rsidR="00895B14" w:rsidRPr="002B466D" w:rsidRDefault="00895B14" w:rsidP="00571A0B">
            <w:pPr>
              <w:jc w:val="center"/>
              <w:rPr>
                <w:rFonts w:ascii="Arial" w:hAnsi="Arial" w:cs="Arial"/>
                <w:color w:val="6C6361"/>
                <w:sz w:val="24"/>
                <w:szCs w:val="24"/>
              </w:rPr>
            </w:pPr>
            <w:r w:rsidRPr="00412842">
              <w:rPr>
                <w:rFonts w:ascii="Arial" w:hAnsi="Arial" w:cs="Arial"/>
                <w:noProof/>
                <w:color w:val="6C6361"/>
                <w:sz w:val="24"/>
                <w:szCs w:val="24"/>
              </w:rPr>
              <w:drawing>
                <wp:inline distT="0" distB="0" distL="0" distR="0" wp14:anchorId="3BBAE195" wp14:editId="0B6CF4C9">
                  <wp:extent cx="892800" cy="10188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C90B27" w:rsidRPr="002B466D" w:rsidRDefault="00C90B27" w:rsidP="00C90B27">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70"/>
        <w:gridCol w:w="1315"/>
      </w:tblGrid>
      <w:tr w:rsidR="00895B14" w:rsidRPr="000762CF" w:rsidTr="008F5FE6">
        <w:trPr>
          <w:trHeight w:val="454"/>
          <w:jc w:val="center"/>
        </w:trPr>
        <w:tc>
          <w:tcPr>
            <w:tcW w:w="1701" w:type="dxa"/>
            <w:tcBorders>
              <w:top w:val="nil"/>
              <w:left w:val="nil"/>
              <w:bottom w:val="single" w:sz="12" w:space="0" w:color="FFFFFF"/>
            </w:tcBorders>
            <w:shd w:val="clear" w:color="auto" w:fill="F0EBE1"/>
            <w:vAlign w:val="center"/>
          </w:tcPr>
          <w:p w:rsidR="00895B14" w:rsidRPr="000762CF" w:rsidRDefault="00895B14" w:rsidP="0089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895B14" w:rsidRPr="000762CF" w:rsidRDefault="00895B14" w:rsidP="0089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EVT000000212</w:t>
            </w:r>
          </w:p>
        </w:tc>
        <w:tc>
          <w:tcPr>
            <w:tcW w:w="1701" w:type="dxa"/>
            <w:tcBorders>
              <w:top w:val="nil"/>
              <w:bottom w:val="single" w:sz="12" w:space="0" w:color="FFFFFF"/>
            </w:tcBorders>
            <w:shd w:val="clear" w:color="auto" w:fill="F0EBE1"/>
            <w:vAlign w:val="center"/>
          </w:tcPr>
          <w:p w:rsidR="00895B14" w:rsidRPr="000762CF" w:rsidRDefault="00895B14" w:rsidP="0089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895B14" w:rsidRPr="000762CF" w:rsidRDefault="00895B14" w:rsidP="0089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Advanced</w:t>
            </w:r>
          </w:p>
        </w:tc>
      </w:tr>
      <w:tr w:rsidR="00895B14" w:rsidRPr="000762CF" w:rsidTr="008F5FE6">
        <w:trPr>
          <w:trHeight w:val="454"/>
          <w:jc w:val="center"/>
        </w:trPr>
        <w:tc>
          <w:tcPr>
            <w:tcW w:w="1701" w:type="dxa"/>
            <w:tcBorders>
              <w:top w:val="single" w:sz="12" w:space="0" w:color="FFFFFF"/>
              <w:left w:val="nil"/>
              <w:bottom w:val="single" w:sz="12" w:space="0" w:color="FFFFFF"/>
            </w:tcBorders>
            <w:shd w:val="clear" w:color="auto" w:fill="F0EBE1"/>
            <w:vAlign w:val="center"/>
          </w:tcPr>
          <w:p w:rsidR="00895B14" w:rsidRPr="000762CF" w:rsidRDefault="00895B14" w:rsidP="0089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895B14" w:rsidRPr="00230178" w:rsidRDefault="00895B14" w:rsidP="0089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11 May 2018 (Friday)</w:t>
            </w:r>
          </w:p>
        </w:tc>
        <w:tc>
          <w:tcPr>
            <w:tcW w:w="1701" w:type="dxa"/>
            <w:tcBorders>
              <w:top w:val="single" w:sz="12" w:space="0" w:color="FFFFFF"/>
              <w:bottom w:val="single" w:sz="12" w:space="0" w:color="FFFFFF"/>
            </w:tcBorders>
            <w:shd w:val="clear" w:color="auto" w:fill="F0EBE1"/>
            <w:vAlign w:val="center"/>
          </w:tcPr>
          <w:p w:rsidR="00895B14" w:rsidRPr="000762CF" w:rsidRDefault="00895B14" w:rsidP="0089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895B14" w:rsidRPr="000762CF" w:rsidRDefault="00895B14" w:rsidP="0089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895B14" w:rsidRPr="000762CF" w:rsidTr="008F5FE6">
        <w:trPr>
          <w:trHeight w:val="454"/>
          <w:jc w:val="center"/>
        </w:trPr>
        <w:tc>
          <w:tcPr>
            <w:tcW w:w="1701" w:type="dxa"/>
            <w:tcBorders>
              <w:top w:val="single" w:sz="12" w:space="0" w:color="FFFFFF"/>
              <w:left w:val="nil"/>
              <w:bottom w:val="single" w:sz="12" w:space="0" w:color="FFFFFF"/>
            </w:tcBorders>
            <w:shd w:val="clear" w:color="auto" w:fill="F0EBE1"/>
            <w:vAlign w:val="center"/>
          </w:tcPr>
          <w:p w:rsidR="00895B14" w:rsidRPr="000762CF" w:rsidRDefault="00895B14" w:rsidP="0089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895B14" w:rsidRPr="000762CF" w:rsidRDefault="00895B14" w:rsidP="0089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:30 - 1</w:t>
            </w:r>
            <w:r>
              <w:rPr>
                <w:rFonts w:ascii="Arial" w:hAnsi="Arial" w:cs="Arial"/>
                <w:b/>
                <w:color w:val="6C6361"/>
                <w:sz w:val="20"/>
                <w:szCs w:val="20"/>
              </w:rPr>
              <w:t>7</w:t>
            </w:r>
            <w:r w:rsidRPr="000762CF">
              <w:rPr>
                <w:rFonts w:ascii="Arial" w:hAnsi="Arial" w:cs="Arial"/>
                <w:b/>
                <w:color w:val="6C6361"/>
                <w:sz w:val="20"/>
                <w:szCs w:val="20"/>
              </w:rPr>
              <w:t>:45</w:t>
            </w:r>
          </w:p>
          <w:p w:rsidR="00895B14" w:rsidRPr="000762CF" w:rsidRDefault="00895B14" w:rsidP="0089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895B14" w:rsidRPr="000762CF" w:rsidRDefault="00895B14" w:rsidP="0089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895B14" w:rsidRDefault="00895B14" w:rsidP="0089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1C78E1">
              <w:rPr>
                <w:rFonts w:ascii="Arial" w:hAnsi="Arial" w:cs="Arial"/>
                <w:b/>
                <w:color w:val="6C6361"/>
                <w:sz w:val="20"/>
                <w:szCs w:val="20"/>
              </w:rPr>
              <w:t>LSHK RME Elective Course</w:t>
            </w:r>
          </w:p>
          <w:p w:rsidR="00895B14" w:rsidRPr="000B06B8" w:rsidRDefault="00895B14" w:rsidP="0089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Pr>
                <w:rFonts w:ascii="Arial" w:hAnsi="Arial" w:cs="Arial"/>
                <w:b/>
                <w:color w:val="6C6361"/>
                <w:sz w:val="20"/>
                <w:szCs w:val="20"/>
              </w:rPr>
              <w:t xml:space="preserve">LSHK 3.5 </w:t>
            </w:r>
            <w:r w:rsidRPr="000762CF">
              <w:rPr>
                <w:rFonts w:ascii="Arial" w:hAnsi="Arial" w:cs="Arial"/>
                <w:b/>
                <w:color w:val="6C6361"/>
                <w:sz w:val="20"/>
                <w:szCs w:val="20"/>
              </w:rPr>
              <w:t xml:space="preserve">CPD </w:t>
            </w:r>
            <w:r>
              <w:rPr>
                <w:rFonts w:ascii="Arial" w:hAnsi="Arial" w:cs="Arial"/>
                <w:b/>
                <w:color w:val="6C6361"/>
                <w:sz w:val="20"/>
                <w:szCs w:val="20"/>
              </w:rPr>
              <w:t>Points</w:t>
            </w:r>
          </w:p>
        </w:tc>
      </w:tr>
      <w:tr w:rsidR="00C90B27" w:rsidRPr="000762CF" w:rsidTr="008F5FE6">
        <w:trPr>
          <w:trHeight w:val="1247"/>
          <w:jc w:val="center"/>
        </w:trPr>
        <w:tc>
          <w:tcPr>
            <w:tcW w:w="1701" w:type="dxa"/>
            <w:tcBorders>
              <w:top w:val="single" w:sz="12" w:space="0" w:color="FFFFFF"/>
              <w:left w:val="nil"/>
              <w:bottom w:val="nil"/>
            </w:tcBorders>
            <w:shd w:val="clear" w:color="auto" w:fill="F0EBE1"/>
            <w:vAlign w:val="center"/>
          </w:tcPr>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C90B27" w:rsidRPr="000762CF" w:rsidRDefault="00C90B27" w:rsidP="008F5FE6">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C90B27" w:rsidRPr="000762CF" w:rsidRDefault="00C90B27" w:rsidP="008F5FE6">
            <w:pPr>
              <w:jc w:val="right"/>
              <w:rPr>
                <w:rFonts w:ascii="Arial" w:hAnsi="Arial" w:cs="Arial"/>
                <w:b/>
                <w:color w:val="6C6361"/>
                <w:sz w:val="20"/>
                <w:szCs w:val="20"/>
              </w:rPr>
            </w:pPr>
          </w:p>
          <w:p w:rsidR="00C90B27" w:rsidRPr="000762CF" w:rsidRDefault="00C90B27" w:rsidP="008F5FE6">
            <w:pPr>
              <w:jc w:val="right"/>
              <w:rPr>
                <w:rFonts w:ascii="Arial" w:hAnsi="Arial" w:cs="Arial"/>
                <w:b/>
                <w:color w:val="6C6361"/>
                <w:sz w:val="20"/>
                <w:szCs w:val="20"/>
              </w:rPr>
            </w:pPr>
          </w:p>
          <w:p w:rsidR="00C90B27" w:rsidRPr="000762CF" w:rsidRDefault="00C90B27" w:rsidP="008F5FE6">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6647320D" wp14:editId="545806E5">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C90B27" w:rsidRPr="000762CF" w:rsidRDefault="00C90B27" w:rsidP="008F5FE6">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C90B27" w:rsidRPr="003A2A41"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C90B27" w:rsidRPr="003A2A41"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rsidR="00C90B27" w:rsidRPr="003A2A41"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C90B27" w:rsidRPr="003A2A41"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rsidR="00C90B27" w:rsidRPr="00156567"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00D67CA" wp14:editId="2D53A01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C90B27" w:rsidRDefault="00214BC6" w:rsidP="00C90B27"/>
    <w:sectPr w:rsidR="00214BC6" w:rsidRPr="00C90B27"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6D4" w:rsidRDefault="00A376D4" w:rsidP="00546556">
      <w:r>
        <w:separator/>
      </w:r>
    </w:p>
  </w:endnote>
  <w:endnote w:type="continuationSeparator" w:id="0">
    <w:p w:rsidR="00A376D4" w:rsidRDefault="00A376D4"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6D4" w:rsidRDefault="00A376D4" w:rsidP="00546556">
      <w:r>
        <w:separator/>
      </w:r>
    </w:p>
  </w:footnote>
  <w:footnote w:type="continuationSeparator" w:id="0">
    <w:p w:rsidR="00A376D4" w:rsidRDefault="00A376D4"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cmnbY3n5cBed3WZg/zOphSKB8NQGDsZ2FxfW4JvyfwVOAvlYGzUX9sWX54qFsIFf2s3Wa8GMQW1MKqLH0lB7UQ==" w:salt="SYQyTe9QUrn9TS4Ts3g2v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3BC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5743"/>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3736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B14"/>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219"/>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6D4"/>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B27"/>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36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12/"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2180C-9BF3-463D-A192-F7AEFD202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Pages>
  <Words>610</Words>
  <Characters>3478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CPD Course, RME Elective Course: Professional Negligence - Cases on Solicitors’ Negligence</vt:lpstr>
    </vt:vector>
  </TitlesOfParts>
  <Manager>Tyrone Tsang</Manager>
  <Company>The Profectional Company Limited</Company>
  <LinksUpToDate>false</LinksUpToDate>
  <CharactersWithSpaces>4080</CharactersWithSpaces>
  <SharedDoc>false</SharedDoc>
  <HyperlinkBase>http://download.profectional.com/events/EVT000000212.docx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Professional Negligence - Cases on Solicitors’ Negligence</dc:title>
  <dc:subject>CPD Course, RME Elective Course: Professional Negligence - Cases on Solicitors’ Negligence</dc:subject>
  <dc:creator>The Profectional Company Limited</dc:creator>
  <cp:keywords>Profectional; Kornerstone; CPD; CPT; CLE; CE; RME; Roger So; Barrister-at-Law; Chartered Engineer; Accredited Mediator; Arbitrator</cp:keywords>
  <cp:lastModifiedBy>Tyrone Tsang</cp:lastModifiedBy>
  <cp:revision>20</cp:revision>
  <cp:lastPrinted>2017-02-10T03:31:00Z</cp:lastPrinted>
  <dcterms:created xsi:type="dcterms:W3CDTF">2015-05-28T16:24:00Z</dcterms:created>
  <dcterms:modified xsi:type="dcterms:W3CDTF">2018-05-10T09:18:00Z</dcterms:modified>
</cp:coreProperties>
</file>