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592" w:rsidRPr="00E84592" w:rsidRDefault="00E84592" w:rsidP="00E8459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84592" w:rsidRPr="00523A64" w:rsidTr="000C1AFD">
        <w:trPr>
          <w:trHeight w:val="3119"/>
          <w:jc w:val="center"/>
        </w:trPr>
        <w:tc>
          <w:tcPr>
            <w:tcW w:w="4820" w:type="dxa"/>
            <w:shd w:val="clear" w:color="auto" w:fill="FFFFFF"/>
            <w:vAlign w:val="center"/>
          </w:tcPr>
          <w:p w:rsidR="00E84592" w:rsidRPr="001A3018" w:rsidRDefault="00E84592" w:rsidP="000C1AFD">
            <w:pPr>
              <w:jc w:val="center"/>
              <w:rPr>
                <w:rFonts w:ascii="Arial" w:hAnsi="Arial" w:cs="Arial"/>
                <w:b/>
                <w:bCs/>
                <w:color w:val="524B48"/>
                <w:sz w:val="4"/>
                <w:szCs w:val="4"/>
              </w:rPr>
            </w:pPr>
          </w:p>
          <w:p w:rsidR="00E84592" w:rsidRPr="001F3F81" w:rsidRDefault="00E84592" w:rsidP="000C1AFD">
            <w:pPr>
              <w:jc w:val="center"/>
              <w:rPr>
                <w:rFonts w:ascii="Arial" w:hAnsi="Arial" w:cs="Arial"/>
                <w:b/>
                <w:bCs/>
                <w:color w:val="524B48"/>
                <w:sz w:val="10"/>
                <w:szCs w:val="10"/>
              </w:rPr>
            </w:pPr>
          </w:p>
          <w:p w:rsidR="00E84592" w:rsidRDefault="00E84592" w:rsidP="000C1AFD">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"http://cpd.hk/evt000000220/"</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Micro-Financing:</w:t>
            </w:r>
          </w:p>
          <w:p w:rsidR="00E84592" w:rsidRDefault="00E84592" w:rsidP="000C1AF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Peer-to-Peer</w:t>
            </w:r>
          </w:p>
          <w:p w:rsidR="00E84592" w:rsidRPr="00B8559C" w:rsidRDefault="00E84592" w:rsidP="000C1AF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Money Lending</w:t>
            </w:r>
          </w:p>
          <w:p w:rsidR="00E84592" w:rsidRPr="003D25E0" w:rsidRDefault="00E84592" w:rsidP="000C1AFD">
            <w:pPr>
              <w:jc w:val="center"/>
              <w:rPr>
                <w:rFonts w:ascii="Arial" w:hAnsi="Arial" w:cs="Arial"/>
                <w:b/>
                <w:bCs/>
                <w:sz w:val="24"/>
                <w:szCs w:val="28"/>
              </w:rPr>
            </w:pPr>
            <w:r w:rsidRPr="00B8559C">
              <w:rPr>
                <w:rFonts w:ascii="Arial" w:hAnsi="Arial" w:cs="Arial"/>
                <w:b/>
                <w:bCs/>
                <w:color w:val="524B48"/>
                <w:sz w:val="32"/>
                <w:szCs w:val="32"/>
              </w:rPr>
              <w:fldChar w:fldCharType="end"/>
            </w:r>
          </w:p>
          <w:p w:rsidR="00E84592" w:rsidRPr="007E00C3" w:rsidRDefault="00E84592" w:rsidP="000C1AFD">
            <w:pPr>
              <w:jc w:val="center"/>
              <w:rPr>
                <w:rFonts w:ascii="Arial" w:hAnsi="Arial" w:cs="Arial"/>
                <w:i/>
                <w:color w:val="6C6361"/>
                <w:sz w:val="23"/>
                <w:szCs w:val="23"/>
              </w:rPr>
            </w:pPr>
            <w:r w:rsidRPr="007E00C3">
              <w:rPr>
                <w:rFonts w:ascii="Arial" w:hAnsi="Arial" w:cs="Arial"/>
                <w:i/>
                <w:color w:val="6C6361"/>
                <w:sz w:val="23"/>
                <w:szCs w:val="23"/>
              </w:rPr>
              <w:t>by</w:t>
            </w:r>
          </w:p>
          <w:p w:rsidR="00E84592" w:rsidRPr="007E00C3" w:rsidRDefault="00E84592" w:rsidP="000C1AFD">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E84592" w:rsidRDefault="00E84592" w:rsidP="000C1AFD">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E84592" w:rsidRDefault="00E84592" w:rsidP="000C1AFD">
            <w:pPr>
              <w:jc w:val="center"/>
              <w:rPr>
                <w:rFonts w:ascii="Arial" w:hAnsi="Arial" w:cs="Arial"/>
                <w:color w:val="6C6361"/>
                <w:sz w:val="23"/>
                <w:szCs w:val="23"/>
              </w:rPr>
            </w:pPr>
            <w:r w:rsidRPr="0019414A">
              <w:rPr>
                <w:rFonts w:ascii="Arial" w:hAnsi="Arial" w:cs="Arial"/>
                <w:color w:val="6C6361"/>
                <w:sz w:val="23"/>
                <w:szCs w:val="23"/>
              </w:rPr>
              <w:t>Certified A</w:t>
            </w:r>
            <w:r>
              <w:rPr>
                <w:rFonts w:ascii="Arial" w:hAnsi="Arial" w:cs="Arial"/>
                <w:color w:val="6C6361"/>
                <w:sz w:val="23"/>
                <w:szCs w:val="23"/>
              </w:rPr>
              <w:t>nti-Money Laundering</w:t>
            </w:r>
          </w:p>
          <w:p w:rsidR="00E84592" w:rsidRDefault="00E84592" w:rsidP="000C1AFD">
            <w:pPr>
              <w:jc w:val="center"/>
              <w:rPr>
                <w:rFonts w:ascii="Arial" w:hAnsi="Arial" w:cs="Arial"/>
                <w:color w:val="6C6361"/>
                <w:sz w:val="23"/>
                <w:szCs w:val="23"/>
              </w:rPr>
            </w:pPr>
            <w:r>
              <w:rPr>
                <w:rFonts w:ascii="Arial" w:hAnsi="Arial" w:cs="Arial"/>
                <w:color w:val="6C6361"/>
                <w:sz w:val="23"/>
                <w:szCs w:val="23"/>
              </w:rPr>
              <w:t>Specialist,</w:t>
            </w:r>
          </w:p>
          <w:p w:rsidR="00E84592" w:rsidRDefault="00E84592" w:rsidP="000C1AFD">
            <w:pPr>
              <w:jc w:val="center"/>
              <w:rPr>
                <w:rFonts w:ascii="Arial" w:hAnsi="Arial" w:cs="Arial"/>
                <w:color w:val="6C6361"/>
                <w:sz w:val="23"/>
                <w:szCs w:val="23"/>
              </w:rPr>
            </w:pPr>
            <w:r w:rsidRPr="0019414A">
              <w:rPr>
                <w:rFonts w:ascii="Arial" w:hAnsi="Arial" w:cs="Arial"/>
                <w:color w:val="6C6361"/>
                <w:sz w:val="23"/>
                <w:szCs w:val="23"/>
              </w:rPr>
              <w:t>Certifi</w:t>
            </w:r>
            <w:r>
              <w:rPr>
                <w:rFonts w:ascii="Arial" w:hAnsi="Arial" w:cs="Arial"/>
                <w:color w:val="6C6361"/>
                <w:sz w:val="23"/>
                <w:szCs w:val="23"/>
              </w:rPr>
              <w:t>ed Financial Crimes Specialist,</w:t>
            </w:r>
          </w:p>
          <w:p w:rsidR="00E84592" w:rsidRDefault="00E84592" w:rsidP="000C1AFD">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E84592" w:rsidRDefault="00E84592" w:rsidP="000C1AFD">
            <w:pPr>
              <w:jc w:val="center"/>
              <w:rPr>
                <w:rFonts w:ascii="Arial" w:hAnsi="Arial" w:cs="Arial"/>
                <w:color w:val="6C6361"/>
                <w:sz w:val="23"/>
                <w:szCs w:val="23"/>
              </w:rPr>
            </w:pPr>
            <w:r>
              <w:rPr>
                <w:rFonts w:ascii="Arial" w:hAnsi="Arial" w:cs="Arial"/>
                <w:color w:val="6C6361"/>
                <w:sz w:val="23"/>
                <w:szCs w:val="23"/>
              </w:rPr>
              <w:t>Mediator,</w:t>
            </w:r>
          </w:p>
          <w:p w:rsidR="00E84592" w:rsidRDefault="00E84592" w:rsidP="000C1AFD">
            <w:pPr>
              <w:jc w:val="center"/>
              <w:rPr>
                <w:rFonts w:ascii="Arial" w:hAnsi="Arial" w:cs="Arial"/>
                <w:color w:val="6C6361"/>
                <w:sz w:val="23"/>
                <w:szCs w:val="23"/>
              </w:rPr>
            </w:pPr>
            <w:r>
              <w:rPr>
                <w:rFonts w:ascii="Arial" w:hAnsi="Arial" w:cs="Arial"/>
                <w:color w:val="6C6361"/>
                <w:sz w:val="23"/>
                <w:szCs w:val="23"/>
              </w:rPr>
              <w:t>Accredited General Mediator,</w:t>
            </w:r>
          </w:p>
          <w:p w:rsidR="00E84592" w:rsidRDefault="00E84592" w:rsidP="000C1AFD">
            <w:pPr>
              <w:jc w:val="center"/>
              <w:rPr>
                <w:rFonts w:ascii="Arial" w:hAnsi="Arial" w:cs="Arial"/>
                <w:color w:val="6C6361"/>
                <w:sz w:val="23"/>
                <w:szCs w:val="23"/>
              </w:rPr>
            </w:pPr>
            <w:r>
              <w:rPr>
                <w:rFonts w:ascii="Arial" w:hAnsi="Arial" w:cs="Arial"/>
                <w:color w:val="6C6361"/>
                <w:sz w:val="23"/>
                <w:szCs w:val="23"/>
              </w:rPr>
              <w:t>Accredited Family Mediator,</w:t>
            </w:r>
          </w:p>
          <w:p w:rsidR="00E84592" w:rsidRDefault="00E84592" w:rsidP="000C1AFD">
            <w:pPr>
              <w:jc w:val="center"/>
              <w:rPr>
                <w:rFonts w:ascii="Arial" w:hAnsi="Arial" w:cs="Arial"/>
                <w:color w:val="6C6361"/>
                <w:sz w:val="23"/>
                <w:szCs w:val="23"/>
              </w:rPr>
            </w:pPr>
            <w:r>
              <w:rPr>
                <w:rFonts w:ascii="Arial" w:hAnsi="Arial" w:cs="Arial"/>
                <w:color w:val="6C6361"/>
                <w:sz w:val="23"/>
                <w:szCs w:val="23"/>
              </w:rPr>
              <w:t>Arbitrator, University Lecturer,</w:t>
            </w:r>
          </w:p>
          <w:p w:rsidR="00E84592" w:rsidRPr="003D25E0" w:rsidRDefault="00E84592" w:rsidP="000C1AFD">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E84592" w:rsidRPr="001A3018" w:rsidRDefault="00E84592" w:rsidP="000C1AFD">
            <w:pPr>
              <w:jc w:val="center"/>
              <w:rPr>
                <w:rFonts w:ascii="Arial" w:hAnsi="Arial" w:cs="Arial"/>
                <w:color w:val="6C6361"/>
                <w:sz w:val="4"/>
                <w:szCs w:val="4"/>
              </w:rPr>
            </w:pPr>
          </w:p>
        </w:tc>
        <w:tc>
          <w:tcPr>
            <w:tcW w:w="5954" w:type="dxa"/>
            <w:shd w:val="clear" w:color="auto" w:fill="FFFFFF"/>
            <w:vAlign w:val="center"/>
          </w:tcPr>
          <w:p w:rsidR="00E84592" w:rsidRPr="00D50772" w:rsidRDefault="00E84592" w:rsidP="000C1AFD">
            <w:pPr>
              <w:spacing w:line="276" w:lineRule="auto"/>
              <w:jc w:val="center"/>
              <w:rPr>
                <w:rFonts w:ascii="Arial" w:eastAsia="Times New Roman" w:hAnsi="Arial" w:cs="Arial"/>
                <w:noProof/>
                <w:sz w:val="20"/>
                <w:szCs w:val="20"/>
              </w:rPr>
            </w:pPr>
            <w:r w:rsidRPr="00D31C11">
              <w:rPr>
                <w:rFonts w:ascii="Arial" w:eastAsia="Times New Roman" w:hAnsi="Arial" w:cs="Arial"/>
                <w:noProof/>
                <w:sz w:val="20"/>
                <w:szCs w:val="20"/>
              </w:rPr>
              <w:drawing>
                <wp:anchor distT="0" distB="0" distL="114300" distR="114300" simplePos="0" relativeHeight="251659264" behindDoc="0" locked="0" layoutInCell="1" allowOverlap="1" wp14:anchorId="119B7E29" wp14:editId="1543AA0D">
                  <wp:simplePos x="0" y="0"/>
                  <wp:positionH relativeFrom="column">
                    <wp:posOffset>3175635</wp:posOffset>
                  </wp:positionH>
                  <wp:positionV relativeFrom="paragraph">
                    <wp:posOffset>-495300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5FDF8408" wp14:editId="1CD91E28">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84592" w:rsidRPr="000F3FFC" w:rsidRDefault="00E84592" w:rsidP="00E84592">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E84592" w:rsidRPr="000F3FFC" w:rsidTr="000C1AFD">
        <w:trPr>
          <w:trHeight w:val="2495"/>
          <w:jc w:val="center"/>
        </w:trPr>
        <w:tc>
          <w:tcPr>
            <w:tcW w:w="1985" w:type="dxa"/>
            <w:shd w:val="clear" w:color="auto" w:fill="FFFFFF"/>
            <w:vAlign w:val="center"/>
          </w:tcPr>
          <w:p w:rsidR="00E84592" w:rsidRPr="000F3FFC" w:rsidRDefault="00E84592" w:rsidP="000C1AF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066AE43" wp14:editId="0E380FFE">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84592" w:rsidRPr="000F3FFC" w:rsidRDefault="00E84592" w:rsidP="00E84592">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E84592" w:rsidRPr="000F3FFC" w:rsidRDefault="00E84592" w:rsidP="00E84592">
            <w:pPr>
              <w:pStyle w:val="NormalWeb"/>
              <w:spacing w:before="0" w:beforeAutospacing="0" w:after="0" w:afterAutospacing="0"/>
              <w:jc w:val="both"/>
              <w:rPr>
                <w:rFonts w:ascii="Arial" w:hAnsi="Arial" w:cs="Arial"/>
                <w:color w:val="6C6361"/>
                <w:sz w:val="10"/>
                <w:szCs w:val="10"/>
              </w:rPr>
            </w:pPr>
          </w:p>
          <w:p w:rsidR="00E84592" w:rsidRPr="000F3FFC" w:rsidRDefault="00E84592" w:rsidP="00E84592">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E84592" w:rsidRPr="000F3FFC" w:rsidRDefault="00E84592" w:rsidP="00E84592">
      <w:pPr>
        <w:spacing w:line="276" w:lineRule="auto"/>
        <w:jc w:val="left"/>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E84592" w:rsidRPr="00D31C11" w:rsidTr="000C1AFD">
        <w:trPr>
          <w:trHeight w:val="2279"/>
          <w:jc w:val="center"/>
        </w:trPr>
        <w:tc>
          <w:tcPr>
            <w:tcW w:w="10773" w:type="dxa"/>
            <w:gridSpan w:val="2"/>
            <w:tcBorders>
              <w:top w:val="nil"/>
              <w:bottom w:val="nil"/>
            </w:tcBorders>
            <w:shd w:val="clear" w:color="auto" w:fill="FFFFFF" w:themeFill="background1"/>
            <w:vAlign w:val="center"/>
          </w:tcPr>
          <w:p w:rsidR="00E84592" w:rsidRPr="00D31C11" w:rsidRDefault="00E84592" w:rsidP="000C1AFD">
            <w:pPr>
              <w:spacing w:line="276" w:lineRule="auto"/>
              <w:rPr>
                <w:rFonts w:ascii="Arial" w:hAnsi="Arial" w:cs="Arial"/>
                <w:color w:val="6C6361"/>
              </w:rPr>
            </w:pPr>
            <w:r w:rsidRPr="00D31C11">
              <w:rPr>
                <w:rFonts w:ascii="Arial" w:hAnsi="Arial" w:cs="Arial"/>
                <w:color w:val="6C6361"/>
              </w:rPr>
              <w:t>Peer-to-peer (P2P) lending is a type of micro-financing activity conducted through an online platform, by matching people who have money to invest with people who are looking for a loan.  Different forms of P2P lending have emerged, e.g. business lending and consumer (including student) lending.</w:t>
            </w:r>
          </w:p>
          <w:p w:rsidR="00E84592" w:rsidRPr="00D31C11" w:rsidRDefault="00E84592" w:rsidP="000C1AFD">
            <w:pPr>
              <w:spacing w:line="276" w:lineRule="auto"/>
              <w:rPr>
                <w:rFonts w:ascii="Arial" w:hAnsi="Arial" w:cs="Arial"/>
                <w:color w:val="6C6361"/>
                <w:sz w:val="10"/>
                <w:szCs w:val="10"/>
              </w:rPr>
            </w:pPr>
          </w:p>
          <w:p w:rsidR="00E84592" w:rsidRPr="00D31C11" w:rsidRDefault="00E84592" w:rsidP="000C1AFD">
            <w:pPr>
              <w:spacing w:line="276" w:lineRule="auto"/>
              <w:rPr>
                <w:rFonts w:ascii="Arial" w:hAnsi="Arial" w:cs="Arial"/>
                <w:color w:val="6C6361"/>
              </w:rPr>
            </w:pPr>
            <w:r w:rsidRPr="00D31C11">
              <w:rPr>
                <w:rFonts w:ascii="Arial" w:hAnsi="Arial" w:cs="Arial"/>
                <w:color w:val="6C6361"/>
              </w:rPr>
              <w:t xml:space="preserve">A combination of interactive lectures, case studies, practical scenario trainings, role-play sessions, group discussion/sharing will be used in the seminar.  Upon the completion, participants should be able to acquire the necessary </w:t>
            </w:r>
            <w:proofErr w:type="spellStart"/>
            <w:r w:rsidRPr="00D31C11">
              <w:rPr>
                <w:rFonts w:ascii="Arial" w:hAnsi="Arial" w:cs="Arial"/>
                <w:color w:val="6C6361"/>
              </w:rPr>
              <w:t>Fintech</w:t>
            </w:r>
            <w:proofErr w:type="spellEnd"/>
            <w:r w:rsidRPr="00D31C11">
              <w:rPr>
                <w:rFonts w:ascii="Arial" w:hAnsi="Arial" w:cs="Arial"/>
                <w:color w:val="6C6361"/>
              </w:rPr>
              <w:t>, corporate finance, legal, compliance and regulatory professional knowledge and identify the common issues to perform their daily duties effectively.</w:t>
            </w:r>
          </w:p>
        </w:tc>
      </w:tr>
      <w:tr w:rsidR="00E84592" w:rsidRPr="00D31C11" w:rsidTr="000C1AFD">
        <w:trPr>
          <w:trHeight w:val="340"/>
          <w:jc w:val="center"/>
        </w:trPr>
        <w:tc>
          <w:tcPr>
            <w:tcW w:w="10773" w:type="dxa"/>
            <w:gridSpan w:val="2"/>
            <w:tcBorders>
              <w:top w:val="nil"/>
              <w:bottom w:val="nil"/>
            </w:tcBorders>
            <w:shd w:val="clear" w:color="auto" w:fill="F0EBE1"/>
            <w:vAlign w:val="center"/>
          </w:tcPr>
          <w:p w:rsidR="00E84592" w:rsidRPr="00D31C11" w:rsidRDefault="00E84592" w:rsidP="000C1AFD">
            <w:pPr>
              <w:spacing w:line="276" w:lineRule="auto"/>
              <w:jc w:val="left"/>
              <w:rPr>
                <w:rFonts w:ascii="Arial" w:hAnsi="Arial" w:cs="Arial"/>
                <w:b/>
                <w:color w:val="524B48"/>
              </w:rPr>
            </w:pPr>
            <w:r w:rsidRPr="00D31C11">
              <w:rPr>
                <w:rFonts w:ascii="Arial" w:hAnsi="Arial" w:cs="Arial"/>
                <w:b/>
                <w:color w:val="524B48"/>
              </w:rPr>
              <w:t>Topics to be covered include:</w:t>
            </w:r>
          </w:p>
        </w:tc>
      </w:tr>
      <w:tr w:rsidR="00E84592" w:rsidRPr="00D31C11" w:rsidTr="000C1AFD">
        <w:trPr>
          <w:trHeight w:val="3338"/>
          <w:jc w:val="center"/>
        </w:trPr>
        <w:tc>
          <w:tcPr>
            <w:tcW w:w="5387" w:type="dxa"/>
            <w:tcBorders>
              <w:top w:val="nil"/>
              <w:bottom w:val="nil"/>
              <w:right w:val="nil"/>
            </w:tcBorders>
            <w:shd w:val="clear" w:color="auto" w:fill="FFFFFF" w:themeFill="background1"/>
            <w:vAlign w:val="center"/>
          </w:tcPr>
          <w:p w:rsidR="00E84592" w:rsidRPr="00D31C11" w:rsidRDefault="00E84592" w:rsidP="000C1AFD">
            <w:pPr>
              <w:pStyle w:val="ListParagraph"/>
              <w:numPr>
                <w:ilvl w:val="0"/>
                <w:numId w:val="2"/>
              </w:numPr>
              <w:spacing w:line="276" w:lineRule="auto"/>
              <w:rPr>
                <w:rFonts w:ascii="Arial" w:hAnsi="Arial" w:cs="Arial"/>
                <w:color w:val="6C6361"/>
              </w:rPr>
            </w:pPr>
            <w:r w:rsidRPr="004F0BD3">
              <w:rPr>
                <w:rFonts w:ascii="Arial" w:hAnsi="Arial" w:cs="Arial"/>
                <w:noProof/>
                <w:color w:val="6C6361"/>
              </w:rPr>
              <w:drawing>
                <wp:anchor distT="0" distB="0" distL="114300" distR="114300" simplePos="0" relativeHeight="251660288" behindDoc="1" locked="0" layoutInCell="1" allowOverlap="1" wp14:anchorId="17CA39F9" wp14:editId="441ECFDC">
                  <wp:simplePos x="0" y="0"/>
                  <wp:positionH relativeFrom="column">
                    <wp:posOffset>2447925</wp:posOffset>
                  </wp:positionH>
                  <wp:positionV relativeFrom="paragraph">
                    <wp:posOffset>36830</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11">
              <w:rPr>
                <w:rFonts w:ascii="Arial" w:hAnsi="Arial" w:cs="Arial"/>
                <w:color w:val="6C6361"/>
              </w:rPr>
              <w:t>How does P2P lending work?</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Risks associated with P2P lending</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Default risk of the borrower</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Credit risk</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Liquidity risk/lack of secondary market liquidity for the loans</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Risk of conducting unlicensed activities</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How is P2P lending regulated in Hong Kong?</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Disclosure risks</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color w:val="6C6361"/>
              </w:rPr>
              <w:t>Risk of collapse, fraud or malpractice by the platform</w:t>
            </w:r>
          </w:p>
        </w:tc>
        <w:tc>
          <w:tcPr>
            <w:tcW w:w="5386" w:type="dxa"/>
            <w:tcBorders>
              <w:top w:val="nil"/>
              <w:left w:val="nil"/>
              <w:bottom w:val="nil"/>
            </w:tcBorders>
            <w:shd w:val="clear" w:color="auto" w:fill="FFFFFF" w:themeFill="background1"/>
            <w:vAlign w:val="center"/>
          </w:tcPr>
          <w:p w:rsidR="00E84592" w:rsidRDefault="00E84592" w:rsidP="000C1AFD">
            <w:pPr>
              <w:pStyle w:val="ListParagraph"/>
              <w:numPr>
                <w:ilvl w:val="0"/>
                <w:numId w:val="2"/>
              </w:numPr>
              <w:spacing w:line="276" w:lineRule="auto"/>
              <w:rPr>
                <w:rFonts w:ascii="Arial" w:hAnsi="Arial" w:cs="Arial"/>
                <w:noProof/>
                <w:color w:val="6C6361"/>
              </w:rPr>
            </w:pPr>
            <w:r w:rsidRPr="00D31C11">
              <w:rPr>
                <w:rFonts w:ascii="Arial" w:hAnsi="Arial" w:cs="Arial"/>
                <w:noProof/>
                <w:color w:val="6C6361"/>
              </w:rPr>
              <w:t>Cross-border risk</w:t>
            </w:r>
          </w:p>
          <w:p w:rsidR="00E84592" w:rsidRPr="00D31C11" w:rsidRDefault="00E84592" w:rsidP="000C1AFD">
            <w:pPr>
              <w:pStyle w:val="ListParagraph"/>
              <w:numPr>
                <w:ilvl w:val="0"/>
                <w:numId w:val="2"/>
              </w:numPr>
              <w:spacing w:line="276" w:lineRule="auto"/>
              <w:rPr>
                <w:rFonts w:ascii="Arial" w:hAnsi="Arial" w:cs="Arial"/>
                <w:noProof/>
                <w:color w:val="6C6361"/>
              </w:rPr>
            </w:pPr>
            <w:r w:rsidRPr="00D31C11">
              <w:rPr>
                <w:rFonts w:ascii="Arial" w:hAnsi="Arial" w:cs="Arial"/>
                <w:noProof/>
                <w:color w:val="6C6361"/>
              </w:rPr>
              <w:t>Cyber security and Cyber-attacks, such as hacking, overloading a platform's infrastructure, confusing accounts, identity theft and/or stealing information including personal data</w:t>
            </w:r>
          </w:p>
          <w:p w:rsidR="00E84592" w:rsidRPr="00D31C11" w:rsidRDefault="00E84592" w:rsidP="000C1AFD">
            <w:pPr>
              <w:pStyle w:val="ListParagraph"/>
              <w:numPr>
                <w:ilvl w:val="0"/>
                <w:numId w:val="2"/>
              </w:numPr>
              <w:spacing w:line="276" w:lineRule="auto"/>
              <w:rPr>
                <w:rFonts w:ascii="Arial" w:hAnsi="Arial" w:cs="Arial"/>
                <w:noProof/>
                <w:color w:val="6C6361"/>
              </w:rPr>
            </w:pPr>
            <w:r w:rsidRPr="00D31C11">
              <w:rPr>
                <w:rFonts w:ascii="Arial" w:hAnsi="Arial" w:cs="Arial"/>
                <w:noProof/>
                <w:color w:val="6C6361"/>
              </w:rPr>
              <w:t>Illegal activities: fraud by parties making offers on the platform, money laundering or other illegal commerce that could lead to regulatory actions including suspension by relevant law enforcement agencies</w:t>
            </w:r>
          </w:p>
          <w:p w:rsidR="00E84592" w:rsidRPr="00D31C11" w:rsidRDefault="00E84592" w:rsidP="000C1AFD">
            <w:pPr>
              <w:pStyle w:val="ListParagraph"/>
              <w:numPr>
                <w:ilvl w:val="0"/>
                <w:numId w:val="2"/>
              </w:numPr>
              <w:spacing w:line="276" w:lineRule="auto"/>
              <w:rPr>
                <w:rFonts w:ascii="Arial" w:hAnsi="Arial" w:cs="Arial"/>
                <w:color w:val="6C6361"/>
              </w:rPr>
            </w:pPr>
            <w:r w:rsidRPr="00D31C11">
              <w:rPr>
                <w:rFonts w:ascii="Arial" w:hAnsi="Arial" w:cs="Arial"/>
                <w:noProof/>
                <w:color w:val="6C6361"/>
              </w:rPr>
              <w:t>Legal issues and concerns for investors</w:t>
            </w:r>
          </w:p>
        </w:tc>
      </w:tr>
    </w:tbl>
    <w:p w:rsidR="00423572" w:rsidRDefault="00423572" w:rsidP="00CE6816">
      <w:pPr>
        <w:spacing w:line="276" w:lineRule="auto"/>
        <w:jc w:val="left"/>
        <w:rPr>
          <w:rFonts w:ascii="Arial" w:hAnsi="Arial" w:cs="Arial"/>
          <w:sz w:val="20"/>
          <w:szCs w:val="20"/>
        </w:rPr>
      </w:pPr>
    </w:p>
    <w:p w:rsidR="00E84592" w:rsidRPr="00E84592" w:rsidRDefault="00E84592" w:rsidP="00CE6816">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E84592" w:rsidRPr="00320F79" w:rsidTr="006D4D31">
        <w:trPr>
          <w:trHeight w:val="340"/>
          <w:jc w:val="center"/>
        </w:trPr>
        <w:tc>
          <w:tcPr>
            <w:tcW w:w="1695" w:type="dxa"/>
            <w:tcBorders>
              <w:top w:val="nil"/>
              <w:left w:val="nil"/>
              <w:bottom w:val="single" w:sz="12" w:space="0" w:color="FFFFFF"/>
            </w:tcBorders>
            <w:shd w:val="clear" w:color="auto" w:fill="F0EBE1"/>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lastRenderedPageBreak/>
              <w:t>Code:</w:t>
            </w:r>
          </w:p>
        </w:tc>
        <w:tc>
          <w:tcPr>
            <w:tcW w:w="3674" w:type="dxa"/>
            <w:gridSpan w:val="2"/>
            <w:tcBorders>
              <w:top w:val="nil"/>
              <w:bottom w:val="single" w:sz="12" w:space="0" w:color="F0EBE1"/>
            </w:tcBorders>
            <w:shd w:val="clear" w:color="auto" w:fill="FFFFFF"/>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EVT000000220</w:t>
            </w:r>
          </w:p>
        </w:tc>
        <w:tc>
          <w:tcPr>
            <w:tcW w:w="1700" w:type="dxa"/>
            <w:tcBorders>
              <w:top w:val="nil"/>
              <w:bottom w:val="single" w:sz="12" w:space="0" w:color="FFFFFF"/>
            </w:tcBorders>
            <w:shd w:val="clear" w:color="auto" w:fill="F0EBE1"/>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84592"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E84592" w:rsidRPr="001D532F"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 June 2018 (Tuesday) (Amended)</w:t>
            </w:r>
          </w:p>
        </w:tc>
        <w:tc>
          <w:tcPr>
            <w:tcW w:w="1700" w:type="dxa"/>
            <w:tcBorders>
              <w:top w:val="single" w:sz="12" w:space="0" w:color="FFFFFF"/>
              <w:bottom w:val="single" w:sz="12" w:space="0" w:color="FFFFFF"/>
            </w:tcBorders>
            <w:shd w:val="clear" w:color="auto" w:fill="F0EBE1"/>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84592"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E84592" w:rsidRPr="00D159B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E84592"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E84592" w:rsidRPr="007E00C3" w:rsidRDefault="00E84592" w:rsidP="00E84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799" w:rsidRDefault="00626799" w:rsidP="00546556">
      <w:r>
        <w:separator/>
      </w:r>
    </w:p>
  </w:endnote>
  <w:endnote w:type="continuationSeparator" w:id="0">
    <w:p w:rsidR="00626799" w:rsidRDefault="0062679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799" w:rsidRDefault="00626799" w:rsidP="00546556">
      <w:r>
        <w:separator/>
      </w:r>
    </w:p>
  </w:footnote>
  <w:footnote w:type="continuationSeparator" w:id="0">
    <w:p w:rsidR="00626799" w:rsidRDefault="0062679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Kfi6jFCFrCES7WAZfmF+CQiTsGNqAn7el1yJqT+xkHyNIPo6cLbFWCG8yCLTci0fU4koR7R5tJt2uqOg706flQ==" w:salt="9R2izTOPZC2l0GPNSHUkV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A19"/>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6799"/>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6C57"/>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3F37"/>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5FD5"/>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33C"/>
    <w:rsid w:val="00E806C0"/>
    <w:rsid w:val="00E814D3"/>
    <w:rsid w:val="00E823A1"/>
    <w:rsid w:val="00E84140"/>
    <w:rsid w:val="00E84592"/>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1F09"/>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C75F-46F8-4F5A-891B-F4714B4A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CPT Course: Equity Crowdfunding</vt:lpstr>
    </vt:vector>
  </TitlesOfParts>
  <Manager>Tyrone Tsang</Manager>
  <Company>The Profectional Company Limited</Company>
  <LinksUpToDate>false</LinksUpToDate>
  <CharactersWithSpaces>3109</CharactersWithSpaces>
  <SharedDoc>false</SharedDoc>
  <HyperlinkBase>http://download.profectional.com/events/EVT000000220.docx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Micro-Financing: Peer-to-Peer Money Lending</dc:title>
  <dc:subject>CPD Course, CPT Course: Micro-Financing: Peer-to-Peer Money Lending</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48</cp:revision>
  <cp:lastPrinted>2018-06-18T13:54:00Z</cp:lastPrinted>
  <dcterms:created xsi:type="dcterms:W3CDTF">2015-08-21T08:33:00Z</dcterms:created>
  <dcterms:modified xsi:type="dcterms:W3CDTF">2018-06-18T13:54:00Z</dcterms:modified>
</cp:coreProperties>
</file>