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B0E" w:rsidRPr="00C46B0E" w:rsidRDefault="00C46B0E" w:rsidP="00C46B0E">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C46B0E" w:rsidRPr="00523A64" w:rsidTr="00CB25F4">
        <w:trPr>
          <w:trHeight w:val="3119"/>
          <w:jc w:val="center"/>
        </w:trPr>
        <w:tc>
          <w:tcPr>
            <w:tcW w:w="4820" w:type="dxa"/>
            <w:shd w:val="clear" w:color="auto" w:fill="FFFFFF"/>
            <w:vAlign w:val="center"/>
          </w:tcPr>
          <w:p w:rsidR="00C46B0E" w:rsidRPr="008259A9" w:rsidRDefault="00C46B0E" w:rsidP="00CB25F4">
            <w:pPr>
              <w:jc w:val="center"/>
              <w:rPr>
                <w:rFonts w:ascii="Arial" w:hAnsi="Arial" w:cs="Arial"/>
                <w:b/>
                <w:bCs/>
                <w:color w:val="524B48"/>
                <w:sz w:val="4"/>
                <w:szCs w:val="4"/>
              </w:rPr>
            </w:pPr>
          </w:p>
          <w:p w:rsidR="00C46B0E" w:rsidRDefault="00C46B0E" w:rsidP="00CB25F4">
            <w:pPr>
              <w:jc w:val="center"/>
              <w:rPr>
                <w:rStyle w:val="Hyperlink"/>
                <w:rFonts w:ascii="Arial" w:hAnsi="Arial" w:cs="Arial"/>
                <w:b/>
                <w:bCs/>
                <w:color w:val="524B48"/>
                <w:sz w:val="32"/>
                <w:szCs w:val="32"/>
                <w:u w:val="none"/>
              </w:rPr>
            </w:pPr>
            <w:r>
              <w:fldChar w:fldCharType="begin"/>
            </w:r>
            <w:r>
              <w:instrText>HYPERLINK "http://cpd.hk/evt000000222/"</w:instrText>
            </w:r>
            <w:r>
              <w:fldChar w:fldCharType="separate"/>
            </w:r>
            <w:r>
              <w:rPr>
                <w:rStyle w:val="Hyperlink"/>
                <w:rFonts w:ascii="Arial" w:hAnsi="Arial" w:cs="Arial"/>
                <w:b/>
                <w:bCs/>
                <w:color w:val="524B48"/>
                <w:sz w:val="32"/>
                <w:szCs w:val="32"/>
                <w:u w:val="none"/>
              </w:rPr>
              <w:t>An Introduction</w:t>
            </w:r>
          </w:p>
          <w:p w:rsidR="00C46B0E" w:rsidRPr="00032DE4" w:rsidRDefault="00C46B0E" w:rsidP="00CB25F4">
            <w:pPr>
              <w:jc w:val="center"/>
              <w:rPr>
                <w:rFonts w:ascii="Arial" w:hAnsi="Arial" w:cs="Arial"/>
                <w:b/>
                <w:bCs/>
                <w:color w:val="524B48"/>
                <w:sz w:val="32"/>
                <w:szCs w:val="32"/>
              </w:rPr>
            </w:pPr>
            <w:r>
              <w:rPr>
                <w:rStyle w:val="Hyperlink"/>
                <w:rFonts w:ascii="Arial" w:hAnsi="Arial" w:cs="Arial"/>
                <w:b/>
                <w:bCs/>
                <w:color w:val="524B48"/>
                <w:sz w:val="32"/>
                <w:szCs w:val="32"/>
                <w:u w:val="none"/>
              </w:rPr>
              <w:t>to Judicial Review</w:t>
            </w:r>
            <w:r>
              <w:rPr>
                <w:rStyle w:val="Hyperlink"/>
                <w:rFonts w:ascii="Arial" w:hAnsi="Arial" w:cs="Arial"/>
                <w:b/>
                <w:bCs/>
                <w:color w:val="524B48"/>
                <w:sz w:val="32"/>
                <w:szCs w:val="32"/>
                <w:u w:val="none"/>
              </w:rPr>
              <w:fldChar w:fldCharType="end"/>
            </w:r>
          </w:p>
          <w:p w:rsidR="00C46B0E" w:rsidRPr="00731F7F" w:rsidRDefault="00C46B0E" w:rsidP="00CB25F4">
            <w:pPr>
              <w:jc w:val="center"/>
              <w:rPr>
                <w:rFonts w:ascii="Arial" w:hAnsi="Arial" w:cs="Arial"/>
                <w:b/>
                <w:bCs/>
                <w:sz w:val="24"/>
                <w:szCs w:val="28"/>
              </w:rPr>
            </w:pPr>
          </w:p>
          <w:p w:rsidR="00C46B0E" w:rsidRPr="009D67FA" w:rsidRDefault="00C46B0E" w:rsidP="00CB25F4">
            <w:pPr>
              <w:jc w:val="center"/>
              <w:rPr>
                <w:rFonts w:ascii="Arial" w:hAnsi="Arial" w:cs="Arial"/>
                <w:i/>
                <w:color w:val="6C6361"/>
                <w:sz w:val="24"/>
                <w:szCs w:val="24"/>
              </w:rPr>
            </w:pPr>
            <w:r w:rsidRPr="009D67FA">
              <w:rPr>
                <w:rFonts w:ascii="Arial" w:hAnsi="Arial" w:cs="Arial"/>
                <w:i/>
                <w:color w:val="6C6361"/>
                <w:sz w:val="24"/>
                <w:szCs w:val="24"/>
              </w:rPr>
              <w:t>by</w:t>
            </w:r>
          </w:p>
          <w:p w:rsidR="00C46B0E" w:rsidRDefault="00C46B0E" w:rsidP="00CB25F4">
            <w:pPr>
              <w:spacing w:line="276" w:lineRule="auto"/>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 xml:space="preserve">Dr. </w:t>
              </w:r>
              <w:r>
                <w:rPr>
                  <w:rStyle w:val="Hyperlink"/>
                  <w:rFonts w:ascii="Arial" w:hAnsi="Arial" w:cs="Arial"/>
                  <w:color w:val="6C6361"/>
                  <w:sz w:val="24"/>
                  <w:szCs w:val="24"/>
                  <w:u w:val="none"/>
                </w:rPr>
                <w:t>Stephen Thomson</w:t>
              </w:r>
            </w:hyperlink>
            <w:r>
              <w:rPr>
                <w:rFonts w:ascii="Arial" w:hAnsi="Arial" w:cs="Arial"/>
                <w:color w:val="6C6361"/>
                <w:sz w:val="24"/>
                <w:szCs w:val="24"/>
              </w:rPr>
              <w:t>,</w:t>
            </w:r>
          </w:p>
          <w:p w:rsidR="00C46B0E" w:rsidRDefault="00C46B0E" w:rsidP="00CB25F4">
            <w:pPr>
              <w:jc w:val="center"/>
              <w:rPr>
                <w:rFonts w:ascii="Arial" w:hAnsi="Arial" w:cs="Arial"/>
                <w:color w:val="6C6361"/>
                <w:sz w:val="24"/>
                <w:szCs w:val="24"/>
              </w:rPr>
            </w:pPr>
            <w:r>
              <w:rPr>
                <w:rFonts w:ascii="Arial" w:hAnsi="Arial" w:cs="Arial"/>
                <w:color w:val="6C6361"/>
                <w:sz w:val="24"/>
                <w:szCs w:val="24"/>
              </w:rPr>
              <w:t>Associate Professor,</w:t>
            </w:r>
          </w:p>
          <w:p w:rsidR="00C46B0E" w:rsidRDefault="00C46B0E" w:rsidP="00CB25F4">
            <w:pPr>
              <w:jc w:val="center"/>
              <w:rPr>
                <w:rFonts w:ascii="Arial" w:hAnsi="Arial" w:cs="Arial"/>
                <w:color w:val="6C6361"/>
                <w:sz w:val="24"/>
                <w:szCs w:val="24"/>
              </w:rPr>
            </w:pPr>
            <w:r>
              <w:rPr>
                <w:rFonts w:ascii="Arial" w:hAnsi="Arial" w:cs="Arial"/>
                <w:color w:val="6C6361"/>
                <w:sz w:val="24"/>
                <w:szCs w:val="24"/>
              </w:rPr>
              <w:t>School of Law,</w:t>
            </w:r>
          </w:p>
          <w:p w:rsidR="00C46B0E" w:rsidRPr="008259A9" w:rsidRDefault="00C46B0E" w:rsidP="00CB25F4">
            <w:pPr>
              <w:jc w:val="center"/>
              <w:rPr>
                <w:rFonts w:ascii="Arial" w:hAnsi="Arial" w:cs="Arial"/>
                <w:color w:val="6C6361"/>
                <w:sz w:val="4"/>
                <w:szCs w:val="4"/>
              </w:rPr>
            </w:pPr>
            <w:r w:rsidRPr="00F40C7D">
              <w:rPr>
                <w:rFonts w:ascii="Arial" w:hAnsi="Arial" w:cs="Arial"/>
                <w:color w:val="6C6361"/>
                <w:sz w:val="24"/>
                <w:szCs w:val="24"/>
              </w:rPr>
              <w:t>City University of Hong Kong</w:t>
            </w:r>
          </w:p>
        </w:tc>
        <w:tc>
          <w:tcPr>
            <w:tcW w:w="5954" w:type="dxa"/>
            <w:shd w:val="clear" w:color="auto" w:fill="FFFFFF"/>
            <w:vAlign w:val="center"/>
          </w:tcPr>
          <w:p w:rsidR="00C46B0E" w:rsidRPr="00D50772" w:rsidRDefault="00C46B0E" w:rsidP="00CB25F4">
            <w:pPr>
              <w:spacing w:line="276" w:lineRule="auto"/>
              <w:rPr>
                <w:rFonts w:ascii="Arial" w:eastAsia="Times New Roman" w:hAnsi="Arial" w:cs="Arial"/>
                <w:noProof/>
                <w:sz w:val="20"/>
                <w:szCs w:val="20"/>
              </w:rPr>
            </w:pPr>
            <w:r w:rsidRPr="00DC4D53">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69C2D2FA" wp14:editId="7224AD8A">
                  <wp:simplePos x="0" y="0"/>
                  <wp:positionH relativeFrom="column">
                    <wp:posOffset>3176270</wp:posOffset>
                  </wp:positionH>
                  <wp:positionV relativeFrom="paragraph">
                    <wp:posOffset>-56515</wp:posOffset>
                  </wp:positionV>
                  <wp:extent cx="539750" cy="546735"/>
                  <wp:effectExtent l="0" t="0" r="0" b="5715"/>
                  <wp:wrapNone/>
                  <wp:docPr id="12" name="Picture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422767B" wp14:editId="3927FD2A">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C46B0E" w:rsidRPr="00F26BAF" w:rsidRDefault="00C46B0E" w:rsidP="00C46B0E">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C46B0E" w:rsidRPr="00EE3A30" w:rsidTr="00CB25F4">
        <w:trPr>
          <w:trHeight w:val="3289"/>
          <w:jc w:val="center"/>
        </w:trPr>
        <w:tc>
          <w:tcPr>
            <w:tcW w:w="1985" w:type="dxa"/>
            <w:shd w:val="clear" w:color="auto" w:fill="FFFFFF"/>
            <w:vAlign w:val="center"/>
          </w:tcPr>
          <w:p w:rsidR="00C46B0E" w:rsidRPr="00EE3A30" w:rsidRDefault="00C46B0E" w:rsidP="00CB25F4">
            <w:pPr>
              <w:spacing w:line="276" w:lineRule="auto"/>
              <w:jc w:val="center"/>
              <w:rPr>
                <w:rFonts w:ascii="Arial" w:hAnsi="Arial" w:cs="Arial"/>
              </w:rPr>
            </w:pPr>
            <w:r w:rsidRPr="00EE3A30">
              <w:rPr>
                <w:rFonts w:ascii="Arial" w:hAnsi="Arial" w:cs="Arial"/>
                <w:noProof/>
              </w:rPr>
              <w:drawing>
                <wp:inline distT="0" distB="0" distL="0" distR="0" wp14:anchorId="4E27FBBD" wp14:editId="6EF16670">
                  <wp:extent cx="1078705" cy="1438273"/>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C46B0E" w:rsidRPr="00EE3A30" w:rsidRDefault="00C46B0E" w:rsidP="00CB25F4">
            <w:pPr>
              <w:spacing w:line="276" w:lineRule="auto"/>
              <w:rPr>
                <w:rFonts w:ascii="Arial" w:hAnsi="Arial" w:cs="Arial"/>
              </w:rPr>
            </w:pPr>
            <w:r w:rsidRPr="00C07410">
              <w:rPr>
                <w:rFonts w:ascii="Arial" w:hAnsi="Arial" w:cs="Arial"/>
                <w:color w:val="6C6361"/>
              </w:rPr>
              <w:t>Dr. Stephen Thomson is an Associate Professor at City University of Hong Kong, where he leads teaching in administrative law.  He is a Legal Adviser to the Ombudsman of Hong Kong, a member of the Constitutional Affairs and Human Rights Committee of the Law Society of Hong Kong, and an examiner on the Overseas Lawyers Qualification Examination.  Dr. Thomson holds a Ph.D. in judicial review from the University of Edinburgh (UK).  In addition to his experience in the field of administrative law, Dr. Thomson is the leading authority on equitable jurisdiction in Scotland where he has written the only book on that subject, cited with approval in the supreme civil court in Scotland.  Dr. Thomson has practical legal and commercial experience, having worked at a UK law firm and acting on a consultancy and advisory basis to law firms, private clients and public bodies in Hong Kong and the UK.</w:t>
            </w:r>
          </w:p>
        </w:tc>
      </w:tr>
    </w:tbl>
    <w:p w:rsidR="00C46B0E" w:rsidRDefault="00C46B0E" w:rsidP="00C46B0E">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8931"/>
        <w:gridCol w:w="1842"/>
      </w:tblGrid>
      <w:tr w:rsidR="00C46B0E" w:rsidRPr="00390282" w:rsidTr="00CB25F4">
        <w:trPr>
          <w:trHeight w:val="2140"/>
          <w:jc w:val="center"/>
        </w:trPr>
        <w:tc>
          <w:tcPr>
            <w:tcW w:w="10773" w:type="dxa"/>
            <w:gridSpan w:val="2"/>
            <w:tcBorders>
              <w:top w:val="nil"/>
              <w:bottom w:val="nil"/>
            </w:tcBorders>
            <w:shd w:val="clear" w:color="auto" w:fill="FFFFFF" w:themeFill="background1"/>
            <w:vAlign w:val="center"/>
          </w:tcPr>
          <w:p w:rsidR="00C46B0E" w:rsidRPr="00EE3A30" w:rsidRDefault="00C46B0E" w:rsidP="00CB25F4">
            <w:pPr>
              <w:spacing w:line="276" w:lineRule="auto"/>
              <w:rPr>
                <w:rFonts w:ascii="Arial" w:hAnsi="Arial" w:cs="Arial"/>
                <w:b/>
                <w:color w:val="524B48"/>
              </w:rPr>
            </w:pPr>
            <w:r w:rsidRPr="00EE3A30">
              <w:rPr>
                <w:rFonts w:ascii="Arial" w:hAnsi="Arial" w:cs="Arial"/>
                <w:color w:val="6C6361"/>
              </w:rPr>
              <w:t>This is an intermediate level course on judicial review in Hong Kong.  It offers a broad overview of judicial review, beginning with its basic principles.  Delegates are guided first through important procedural aspects of review, such as the public/private divide, the leave stage and standing.  An overview is then given of the main substantive aspects of review, in particular the grounds of review such as fettering of discretion, breach of legitimate expectations, unreasonableness and procedural impropriety.  At each stage we consider relevant and contentious issues for the practitioner, with the main rules, principles and case law in judicial review being covered.</w:t>
            </w:r>
          </w:p>
        </w:tc>
      </w:tr>
      <w:tr w:rsidR="00C46B0E" w:rsidRPr="00390282" w:rsidTr="00CB25F4">
        <w:trPr>
          <w:trHeight w:val="397"/>
          <w:jc w:val="center"/>
        </w:trPr>
        <w:tc>
          <w:tcPr>
            <w:tcW w:w="8931" w:type="dxa"/>
            <w:tcBorders>
              <w:top w:val="nil"/>
              <w:bottom w:val="nil"/>
              <w:right w:val="nil"/>
            </w:tcBorders>
            <w:shd w:val="clear" w:color="auto" w:fill="F0EBE1"/>
            <w:vAlign w:val="center"/>
          </w:tcPr>
          <w:p w:rsidR="00C46B0E" w:rsidRPr="00390282" w:rsidRDefault="00C46B0E" w:rsidP="00CB25F4">
            <w:pPr>
              <w:rPr>
                <w:rFonts w:ascii="Arial" w:hAnsi="Arial" w:cs="Arial"/>
                <w:b/>
                <w:color w:val="524B48"/>
                <w:sz w:val="24"/>
                <w:szCs w:val="24"/>
              </w:rPr>
            </w:pPr>
            <w:r w:rsidRPr="00EE3A30">
              <w:rPr>
                <w:rFonts w:ascii="Arial" w:hAnsi="Arial" w:cs="Arial"/>
                <w:b/>
                <w:color w:val="524B48"/>
              </w:rPr>
              <w:t>Contents</w:t>
            </w:r>
          </w:p>
        </w:tc>
        <w:tc>
          <w:tcPr>
            <w:tcW w:w="1842" w:type="dxa"/>
            <w:vMerge w:val="restart"/>
            <w:tcBorders>
              <w:top w:val="nil"/>
              <w:left w:val="nil"/>
              <w:bottom w:val="nil"/>
            </w:tcBorders>
            <w:shd w:val="clear" w:color="auto" w:fill="FFFFFF" w:themeFill="background1"/>
            <w:vAlign w:val="center"/>
          </w:tcPr>
          <w:p w:rsidR="00C46B0E" w:rsidRPr="00390282" w:rsidRDefault="00C46B0E" w:rsidP="00CB25F4">
            <w:pPr>
              <w:jc w:val="center"/>
              <w:rPr>
                <w:rFonts w:ascii="Arial" w:hAnsi="Arial" w:cs="Arial"/>
                <w:b/>
                <w:color w:val="524B48"/>
                <w:sz w:val="24"/>
                <w:szCs w:val="24"/>
              </w:rPr>
            </w:pPr>
            <w:r w:rsidRPr="000D79CD">
              <w:rPr>
                <w:noProof/>
              </w:rPr>
              <w:drawing>
                <wp:inline distT="0" distB="0" distL="0" distR="0" wp14:anchorId="3DF3BC4A" wp14:editId="4A8B4869">
                  <wp:extent cx="892800" cy="10188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r w:rsidR="00C46B0E" w:rsidRPr="00390282" w:rsidTr="00CB25F4">
        <w:trPr>
          <w:trHeight w:val="1588"/>
          <w:jc w:val="center"/>
        </w:trPr>
        <w:tc>
          <w:tcPr>
            <w:tcW w:w="8931" w:type="dxa"/>
            <w:tcBorders>
              <w:top w:val="nil"/>
              <w:bottom w:val="nil"/>
              <w:right w:val="nil"/>
            </w:tcBorders>
            <w:shd w:val="clear" w:color="auto" w:fill="FFFFFF"/>
            <w:vAlign w:val="center"/>
          </w:tcPr>
          <w:p w:rsidR="00C46B0E" w:rsidRPr="00EE3A30" w:rsidRDefault="00C46B0E" w:rsidP="00CB25F4">
            <w:pPr>
              <w:pStyle w:val="ListParagraph"/>
              <w:numPr>
                <w:ilvl w:val="0"/>
                <w:numId w:val="2"/>
              </w:numPr>
              <w:spacing w:line="276" w:lineRule="auto"/>
              <w:rPr>
                <w:rFonts w:ascii="Arial" w:hAnsi="Arial" w:cs="Arial"/>
                <w:color w:val="6C6361"/>
              </w:rPr>
            </w:pPr>
            <w:r w:rsidRPr="00EE3A30">
              <w:rPr>
                <w:rFonts w:ascii="Arial" w:hAnsi="Arial" w:cs="Arial"/>
                <w:color w:val="6C6361"/>
              </w:rPr>
              <w:t>Basic principles of judicial review</w:t>
            </w:r>
          </w:p>
          <w:p w:rsidR="00C46B0E" w:rsidRPr="00EE3A30" w:rsidRDefault="00C46B0E" w:rsidP="00CB25F4">
            <w:pPr>
              <w:pStyle w:val="ListParagraph"/>
              <w:numPr>
                <w:ilvl w:val="0"/>
                <w:numId w:val="2"/>
              </w:numPr>
              <w:spacing w:line="276" w:lineRule="auto"/>
              <w:rPr>
                <w:rFonts w:ascii="Arial" w:hAnsi="Arial" w:cs="Arial"/>
                <w:color w:val="6C6361"/>
              </w:rPr>
            </w:pPr>
            <w:r w:rsidRPr="00EE3A30">
              <w:rPr>
                <w:rFonts w:ascii="Arial" w:hAnsi="Arial" w:cs="Arial"/>
                <w:color w:val="6C6361"/>
              </w:rPr>
              <w:t xml:space="preserve">Procedural aspects of review: the public/private divide, the leave stage (including delay, standing and </w:t>
            </w:r>
            <w:proofErr w:type="spellStart"/>
            <w:r w:rsidRPr="00EE3A30">
              <w:rPr>
                <w:rFonts w:ascii="Arial" w:hAnsi="Arial" w:cs="Arial"/>
                <w:color w:val="6C6361"/>
              </w:rPr>
              <w:t>arguability</w:t>
            </w:r>
            <w:proofErr w:type="spellEnd"/>
            <w:r w:rsidRPr="00EE3A30">
              <w:rPr>
                <w:rFonts w:ascii="Arial" w:hAnsi="Arial" w:cs="Arial"/>
                <w:color w:val="6C6361"/>
              </w:rPr>
              <w:t>) and ouster clauses</w:t>
            </w:r>
          </w:p>
          <w:p w:rsidR="00C46B0E" w:rsidRPr="00480A75" w:rsidRDefault="00C46B0E" w:rsidP="00CB25F4">
            <w:pPr>
              <w:pStyle w:val="ListParagraph"/>
              <w:numPr>
                <w:ilvl w:val="0"/>
                <w:numId w:val="2"/>
              </w:numPr>
              <w:rPr>
                <w:rFonts w:ascii="Arial" w:hAnsi="Arial" w:cs="Arial"/>
                <w:color w:val="6C6361"/>
                <w:sz w:val="24"/>
                <w:szCs w:val="24"/>
              </w:rPr>
            </w:pPr>
            <w:r w:rsidRPr="00EE3A30">
              <w:rPr>
                <w:rFonts w:ascii="Arial" w:hAnsi="Arial" w:cs="Arial"/>
                <w:color w:val="6C6361"/>
              </w:rPr>
              <w:t>Substantive aspects of review: the grounds of judicial review (e.g. fettering of discretion, breach of legitimate expectations, unreasonableness and procedural impropriety)</w:t>
            </w:r>
          </w:p>
        </w:tc>
        <w:tc>
          <w:tcPr>
            <w:tcW w:w="1842" w:type="dxa"/>
            <w:vMerge/>
            <w:tcBorders>
              <w:left w:val="nil"/>
              <w:bottom w:val="nil"/>
            </w:tcBorders>
            <w:shd w:val="clear" w:color="auto" w:fill="FFFFFF" w:themeFill="background1"/>
            <w:vAlign w:val="center"/>
          </w:tcPr>
          <w:p w:rsidR="00C46B0E" w:rsidRPr="00EE3A30" w:rsidRDefault="00C46B0E" w:rsidP="00CB25F4">
            <w:pPr>
              <w:rPr>
                <w:rFonts w:ascii="Arial" w:hAnsi="Arial" w:cs="Arial"/>
                <w:color w:val="6C6361"/>
                <w:sz w:val="24"/>
                <w:szCs w:val="24"/>
              </w:rPr>
            </w:pPr>
          </w:p>
        </w:tc>
      </w:tr>
    </w:tbl>
    <w:p w:rsidR="003E3BAF" w:rsidRPr="007A74B2" w:rsidRDefault="003E3BAF" w:rsidP="005C693B">
      <w:pPr>
        <w:spacing w:line="276" w:lineRule="auto"/>
        <w:rPr>
          <w:rFonts w:ascii="Arial" w:hAnsi="Arial" w:cs="Arial"/>
          <w:sz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C46B0E" w:rsidRPr="005A2F25" w:rsidTr="007A74B2">
        <w:trPr>
          <w:trHeight w:val="340"/>
          <w:jc w:val="center"/>
        </w:trPr>
        <w:tc>
          <w:tcPr>
            <w:tcW w:w="1695" w:type="dxa"/>
            <w:tcBorders>
              <w:top w:val="nil"/>
              <w:left w:val="nil"/>
              <w:bottom w:val="single" w:sz="12" w:space="0" w:color="FFFFFF"/>
            </w:tcBorders>
            <w:shd w:val="clear" w:color="auto" w:fill="F0EBE1"/>
            <w:vAlign w:val="center"/>
          </w:tcPr>
          <w:p w:rsidR="00C46B0E" w:rsidRPr="002343EF" w:rsidRDefault="00C46B0E" w:rsidP="00C46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74" w:type="dxa"/>
            <w:gridSpan w:val="2"/>
            <w:tcBorders>
              <w:top w:val="nil"/>
              <w:bottom w:val="single" w:sz="12" w:space="0" w:color="F0EBE1"/>
            </w:tcBorders>
            <w:shd w:val="clear" w:color="auto" w:fill="FFFFFF"/>
            <w:vAlign w:val="center"/>
          </w:tcPr>
          <w:p w:rsidR="00C46B0E" w:rsidRPr="002343EF" w:rsidRDefault="00C46B0E" w:rsidP="00C46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EVT000000222</w:t>
            </w:r>
          </w:p>
        </w:tc>
        <w:tc>
          <w:tcPr>
            <w:tcW w:w="1700" w:type="dxa"/>
            <w:tcBorders>
              <w:top w:val="nil"/>
              <w:bottom w:val="single" w:sz="12" w:space="0" w:color="FFFFFF"/>
            </w:tcBorders>
            <w:shd w:val="clear" w:color="auto" w:fill="F0EBE1"/>
            <w:vAlign w:val="center"/>
          </w:tcPr>
          <w:p w:rsidR="00C46B0E" w:rsidRPr="002343EF" w:rsidRDefault="00C46B0E" w:rsidP="00C46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rsidR="00C46B0E" w:rsidRPr="002343EF" w:rsidRDefault="00C46B0E" w:rsidP="00C46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C46B0E" w:rsidRPr="005A2F25" w:rsidTr="007A74B2">
        <w:trPr>
          <w:trHeight w:val="340"/>
          <w:jc w:val="center"/>
        </w:trPr>
        <w:tc>
          <w:tcPr>
            <w:tcW w:w="1695" w:type="dxa"/>
            <w:tcBorders>
              <w:top w:val="single" w:sz="12" w:space="0" w:color="FFFFFF"/>
              <w:left w:val="nil"/>
              <w:bottom w:val="single" w:sz="12" w:space="0" w:color="FFFFFF"/>
            </w:tcBorders>
            <w:shd w:val="clear" w:color="auto" w:fill="F0EBE1"/>
            <w:vAlign w:val="center"/>
          </w:tcPr>
          <w:p w:rsidR="00C46B0E" w:rsidRPr="002343EF" w:rsidRDefault="00C46B0E" w:rsidP="00C46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74" w:type="dxa"/>
            <w:gridSpan w:val="2"/>
            <w:tcBorders>
              <w:top w:val="single" w:sz="12" w:space="0" w:color="F0EBE1"/>
              <w:bottom w:val="single" w:sz="12" w:space="0" w:color="F0EBE1"/>
            </w:tcBorders>
            <w:shd w:val="clear" w:color="auto" w:fill="FFFFFF"/>
            <w:vAlign w:val="center"/>
          </w:tcPr>
          <w:p w:rsidR="00C46B0E" w:rsidRPr="006B70C1" w:rsidRDefault="00C46B0E" w:rsidP="00C46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24 May 2018 (Thursday) (Amended)</w:t>
            </w:r>
          </w:p>
        </w:tc>
        <w:tc>
          <w:tcPr>
            <w:tcW w:w="1700" w:type="dxa"/>
            <w:tcBorders>
              <w:top w:val="single" w:sz="12" w:space="0" w:color="FFFFFF"/>
              <w:bottom w:val="single" w:sz="12" w:space="0" w:color="FFFFFF"/>
            </w:tcBorders>
            <w:shd w:val="clear" w:color="auto" w:fill="F0EBE1"/>
            <w:vAlign w:val="center"/>
          </w:tcPr>
          <w:p w:rsidR="00C46B0E" w:rsidRPr="002343EF" w:rsidRDefault="00C46B0E" w:rsidP="00C46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rsidR="00C46B0E" w:rsidRPr="002343EF" w:rsidRDefault="00C46B0E" w:rsidP="00C46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C46B0E" w:rsidRPr="005A2F25" w:rsidTr="007A74B2">
        <w:trPr>
          <w:trHeight w:val="340"/>
          <w:jc w:val="center"/>
        </w:trPr>
        <w:tc>
          <w:tcPr>
            <w:tcW w:w="1695" w:type="dxa"/>
            <w:tcBorders>
              <w:top w:val="single" w:sz="12" w:space="0" w:color="FFFFFF"/>
              <w:left w:val="nil"/>
              <w:bottom w:val="single" w:sz="12" w:space="0" w:color="FFFFFF"/>
            </w:tcBorders>
            <w:shd w:val="clear" w:color="auto" w:fill="F0EBE1"/>
            <w:vAlign w:val="center"/>
          </w:tcPr>
          <w:p w:rsidR="00C46B0E" w:rsidRPr="002343EF" w:rsidRDefault="00C46B0E" w:rsidP="00C46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74" w:type="dxa"/>
            <w:gridSpan w:val="2"/>
            <w:tcBorders>
              <w:top w:val="single" w:sz="12" w:space="0" w:color="F0EBE1"/>
              <w:bottom w:val="single" w:sz="12" w:space="0" w:color="F0EBE1"/>
            </w:tcBorders>
            <w:shd w:val="clear" w:color="auto" w:fill="FFFFFF"/>
            <w:vAlign w:val="center"/>
          </w:tcPr>
          <w:p w:rsidR="00C46B0E" w:rsidRDefault="00C46B0E" w:rsidP="00C46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rsidR="00C46B0E" w:rsidRPr="00EC7ADB" w:rsidRDefault="00C46B0E" w:rsidP="00C46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C46B0E" w:rsidRPr="002343EF" w:rsidRDefault="00C46B0E" w:rsidP="00C46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rsidR="00C46B0E" w:rsidRPr="006B70C1" w:rsidRDefault="00C46B0E" w:rsidP="00C46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tc>
      </w:tr>
      <w:tr w:rsidR="002F4919" w:rsidRPr="005A2F25" w:rsidTr="007A74B2">
        <w:trPr>
          <w:trHeight w:val="1134"/>
          <w:jc w:val="center"/>
        </w:trPr>
        <w:tc>
          <w:tcPr>
            <w:tcW w:w="1695" w:type="dxa"/>
            <w:tcBorders>
              <w:top w:val="single" w:sz="12" w:space="0" w:color="FFFFFF"/>
              <w:left w:val="nil"/>
              <w:bottom w:val="nil"/>
            </w:tcBorders>
            <w:shd w:val="clear" w:color="auto" w:fill="F0EBE1"/>
            <w:vAlign w:val="center"/>
          </w:tcPr>
          <w:p w:rsidR="002F4919" w:rsidRPr="002343EF"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80" w:type="dxa"/>
            <w:tcBorders>
              <w:top w:val="single" w:sz="12" w:space="0" w:color="F0EBE1"/>
              <w:bottom w:val="nil"/>
              <w:right w:val="nil"/>
            </w:tcBorders>
            <w:shd w:val="clear" w:color="auto" w:fill="FFFFFF"/>
            <w:vAlign w:val="center"/>
          </w:tcPr>
          <w:p w:rsidR="002F4919" w:rsidRPr="00482956" w:rsidRDefault="002F4919" w:rsidP="002F4919">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sidRPr="00482956">
              <w:rPr>
                <w:rFonts w:ascii="Arial" w:hAnsi="Arial" w:cs="Arial"/>
                <w:b/>
                <w:color w:val="6C6361"/>
                <w:sz w:val="20"/>
                <w:szCs w:val="20"/>
              </w:rPr>
              <w:instrText xml:space="preserve"> HYPERLINK "http://goo.gl/maps/DKYQ1" </w:instrText>
            </w:r>
            <w:r w:rsidRPr="00482956">
              <w:rPr>
                <w:rFonts w:ascii="Arial" w:hAnsi="Arial" w:cs="Arial"/>
                <w:b/>
                <w:color w:val="6C6361"/>
                <w:sz w:val="20"/>
                <w:szCs w:val="20"/>
              </w:rPr>
              <w:fldChar w:fldCharType="separate"/>
            </w:r>
            <w:r w:rsidRPr="00482956">
              <w:rPr>
                <w:rStyle w:val="Hyperlink"/>
                <w:rFonts w:ascii="Arial" w:hAnsi="Arial" w:cs="Arial"/>
                <w:b/>
                <w:color w:val="6C6361"/>
                <w:sz w:val="20"/>
                <w:szCs w:val="20"/>
                <w:u w:val="none"/>
              </w:rPr>
              <w:t>Kornerstone Institute</w:t>
            </w:r>
          </w:p>
          <w:p w:rsidR="002F4919" w:rsidRPr="00F36D9A"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15/F, Hip Shing Hong Centre</w:t>
            </w:r>
          </w:p>
          <w:p w:rsidR="002F4919" w:rsidRPr="00F36D9A"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55 Des Voeux Road Central</w:t>
            </w:r>
          </w:p>
          <w:p w:rsidR="002F4919" w:rsidRPr="002343EF"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2F4919" w:rsidRPr="00334CAE" w:rsidRDefault="002F4919" w:rsidP="002F4919">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5F251754" wp14:editId="2CFCDCBE">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2F4919" w:rsidRPr="00334CAE" w:rsidRDefault="002F4919" w:rsidP="002F4919">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2F4919" w:rsidRPr="003A2A41"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2F4919" w:rsidRPr="00156567" w:rsidRDefault="002F4919" w:rsidP="002F4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7BAD2130" wp14:editId="3BDF292C">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7A74B2" w:rsidRDefault="00214BC6" w:rsidP="005C693B">
      <w:pPr>
        <w:rPr>
          <w:sz w:val="2"/>
          <w:szCs w:val="2"/>
        </w:rPr>
      </w:pPr>
    </w:p>
    <w:sectPr w:rsidR="00214BC6" w:rsidRPr="007A74B2"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D84" w:rsidRDefault="00E80D84" w:rsidP="00546556">
      <w:r>
        <w:separator/>
      </w:r>
    </w:p>
  </w:endnote>
  <w:endnote w:type="continuationSeparator" w:id="0">
    <w:p w:rsidR="00E80D84" w:rsidRDefault="00E80D84"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D84" w:rsidRDefault="00E80D84" w:rsidP="00546556">
      <w:r>
        <w:separator/>
      </w:r>
    </w:p>
  </w:footnote>
  <w:footnote w:type="continuationSeparator" w:id="0">
    <w:p w:rsidR="00E80D84" w:rsidRDefault="00E80D84"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0UeNdAjJDdpHKzr+/OuzC2wDAT3fxHi9h9qffiSGiaiGRQwIrg0pvAk/Dj25xSad1m8j+oWuwg5QbW0ukCDx/Q==" w:salt="B+RlhGw7mYJ1jGDfjN8q+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56EA4"/>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1C7"/>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69F6"/>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77A"/>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1"/>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6D71"/>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5DDA"/>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97CB5"/>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4B2"/>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4830"/>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1F3E"/>
    <w:rsid w:val="00C467D6"/>
    <w:rsid w:val="00C46B0E"/>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35B5"/>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0D84"/>
    <w:rsid w:val="00E814D3"/>
    <w:rsid w:val="00E823A1"/>
    <w:rsid w:val="00E84140"/>
    <w:rsid w:val="00E8485A"/>
    <w:rsid w:val="00E84A97"/>
    <w:rsid w:val="00E84D7B"/>
    <w:rsid w:val="00E86E58"/>
    <w:rsid w:val="00E90376"/>
    <w:rsid w:val="00E918A3"/>
    <w:rsid w:val="00E959C0"/>
    <w:rsid w:val="00E96231"/>
    <w:rsid w:val="00E97E66"/>
    <w:rsid w:val="00EA1531"/>
    <w:rsid w:val="00EA1CC5"/>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206/"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22/"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5BE52-66F2-4564-B834-78F8630EA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390</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CPD Course: Understanding the Leave Stage in Judicial Review</vt:lpstr>
    </vt:vector>
  </TitlesOfParts>
  <Manager>Tyrone Tsang</Manager>
  <Company>The Profectional Company Limited</Company>
  <LinksUpToDate>false</LinksUpToDate>
  <CharactersWithSpaces>2608</CharactersWithSpaces>
  <SharedDoc>false</SharedDoc>
  <HyperlinkBase>http://download.profectional.com/events/EVT000000222.docx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An Introduction to Judicial Review</dc:title>
  <dc:subject>CPD Course: An Introduction to Judicial Review</dc:subject>
  <dc:creator>The Profectional Company Limited</dc:creator>
  <cp:keywords>Profectional; Kornerstone; CPD; CPT; CLE; CE; RME; Stephen Thomson; Associate Professor; School of Law; City University of Hong Kong</cp:keywords>
  <cp:lastModifiedBy>Tyrone Tsang</cp:lastModifiedBy>
  <cp:revision>48</cp:revision>
  <cp:lastPrinted>2018-05-23T01:58:00Z</cp:lastPrinted>
  <dcterms:created xsi:type="dcterms:W3CDTF">2015-08-21T08:33:00Z</dcterms:created>
  <dcterms:modified xsi:type="dcterms:W3CDTF">2018-05-23T01:58:00Z</dcterms:modified>
</cp:coreProperties>
</file>