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F22" w:rsidRPr="00F53F22" w:rsidRDefault="00F53F22" w:rsidP="00F53F22">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F53F22" w:rsidRPr="00523A64" w:rsidTr="00986D4D">
        <w:trPr>
          <w:trHeight w:val="3119"/>
          <w:jc w:val="center"/>
        </w:trPr>
        <w:tc>
          <w:tcPr>
            <w:tcW w:w="4797" w:type="dxa"/>
            <w:shd w:val="clear" w:color="auto" w:fill="FFFFFF"/>
            <w:vAlign w:val="center"/>
          </w:tcPr>
          <w:p w:rsidR="00F53F22" w:rsidRPr="001A3018" w:rsidRDefault="00F53F22" w:rsidP="00986D4D">
            <w:pPr>
              <w:jc w:val="center"/>
              <w:rPr>
                <w:rFonts w:ascii="Arial" w:hAnsi="Arial" w:cs="Arial"/>
                <w:b/>
                <w:bCs/>
                <w:color w:val="524B48"/>
                <w:sz w:val="4"/>
                <w:szCs w:val="4"/>
              </w:rPr>
            </w:pPr>
          </w:p>
          <w:p w:rsidR="00F53F22" w:rsidRPr="00A661D5" w:rsidRDefault="00F53F22" w:rsidP="00986D4D">
            <w:pPr>
              <w:jc w:val="center"/>
              <w:rPr>
                <w:rStyle w:val="Hyperlink"/>
                <w:rFonts w:ascii="Arial" w:hAnsi="Arial" w:cs="Arial"/>
                <w:b/>
                <w:bCs/>
                <w:color w:val="524B48"/>
                <w:sz w:val="32"/>
                <w:szCs w:val="32"/>
                <w:u w:val="none"/>
              </w:rPr>
            </w:pPr>
            <w:r w:rsidRPr="00CF685C">
              <w:fldChar w:fldCharType="begin"/>
            </w:r>
            <w:r>
              <w:instrText>HYPERLINK "http://cpd.hk/evt000000237/"</w:instrText>
            </w:r>
            <w:r w:rsidRPr="00CF685C">
              <w:fldChar w:fldCharType="separate"/>
            </w:r>
            <w:r>
              <w:rPr>
                <w:rStyle w:val="Hyperlink"/>
                <w:rFonts w:ascii="Arial" w:hAnsi="Arial" w:cs="Arial"/>
                <w:b/>
                <w:bCs/>
                <w:color w:val="524B48"/>
                <w:sz w:val="32"/>
                <w:szCs w:val="32"/>
                <w:u w:val="none"/>
              </w:rPr>
              <w:t>Protecting</w:t>
            </w:r>
          </w:p>
          <w:p w:rsidR="00F53F22" w:rsidRDefault="00F53F22" w:rsidP="00986D4D">
            <w:pPr>
              <w:jc w:val="center"/>
              <w:rPr>
                <w:rStyle w:val="Hyperlink"/>
                <w:rFonts w:ascii="Arial" w:hAnsi="Arial" w:cs="Arial"/>
                <w:b/>
                <w:bCs/>
                <w:color w:val="524B48"/>
                <w:sz w:val="32"/>
                <w:szCs w:val="32"/>
                <w:u w:val="none"/>
              </w:rPr>
            </w:pPr>
            <w:r w:rsidRPr="00A661D5">
              <w:rPr>
                <w:rStyle w:val="Hyperlink"/>
                <w:rFonts w:ascii="Arial" w:hAnsi="Arial" w:cs="Arial"/>
                <w:b/>
                <w:bCs/>
                <w:color w:val="524B48"/>
                <w:sz w:val="32"/>
                <w:szCs w:val="32"/>
                <w:u w:val="none"/>
              </w:rPr>
              <w:t xml:space="preserve"> </w:t>
            </w:r>
            <w:r>
              <w:rPr>
                <w:rStyle w:val="Hyperlink"/>
                <w:rFonts w:ascii="Arial" w:hAnsi="Arial" w:cs="Arial"/>
                <w:b/>
                <w:bCs/>
                <w:color w:val="524B48"/>
                <w:sz w:val="32"/>
                <w:szCs w:val="32"/>
                <w:u w:val="none"/>
              </w:rPr>
              <w:t>Cultural Heritage</w:t>
            </w:r>
          </w:p>
          <w:p w:rsidR="00F53F22" w:rsidRDefault="00F53F22" w:rsidP="00986D4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Hong Kong</w:t>
            </w:r>
          </w:p>
          <w:p w:rsidR="00F53F22" w:rsidRPr="00C65AFD" w:rsidRDefault="00F53F22" w:rsidP="00986D4D">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F53F22" w:rsidRPr="00C65AFD" w:rsidRDefault="00F53F22" w:rsidP="00986D4D">
            <w:pPr>
              <w:jc w:val="center"/>
              <w:rPr>
                <w:rFonts w:ascii="Arial" w:hAnsi="Arial" w:cs="Arial"/>
                <w:i/>
                <w:color w:val="6C6361"/>
                <w:sz w:val="24"/>
                <w:szCs w:val="24"/>
              </w:rPr>
            </w:pPr>
            <w:r w:rsidRPr="00C65AFD">
              <w:rPr>
                <w:rFonts w:ascii="Arial" w:hAnsi="Arial" w:cs="Arial"/>
                <w:i/>
                <w:color w:val="6C6361"/>
                <w:sz w:val="24"/>
                <w:szCs w:val="24"/>
              </w:rPr>
              <w:t>by</w:t>
            </w:r>
          </w:p>
          <w:p w:rsidR="00F53F22" w:rsidRDefault="00F53F22" w:rsidP="00986D4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rsidR="00F53F22" w:rsidRDefault="00F53F22" w:rsidP="00986D4D">
            <w:pPr>
              <w:jc w:val="center"/>
              <w:rPr>
                <w:rFonts w:ascii="Arial" w:hAnsi="Arial" w:cs="Arial"/>
                <w:color w:val="6C6361"/>
                <w:sz w:val="24"/>
                <w:szCs w:val="24"/>
              </w:rPr>
            </w:pPr>
            <w:r w:rsidRPr="00BB7007">
              <w:rPr>
                <w:rFonts w:ascii="Arial" w:hAnsi="Arial" w:cs="Arial"/>
                <w:color w:val="6C6361"/>
                <w:sz w:val="24"/>
                <w:szCs w:val="24"/>
              </w:rPr>
              <w:t>Associat</w:t>
            </w:r>
            <w:r>
              <w:rPr>
                <w:rFonts w:ascii="Arial" w:hAnsi="Arial" w:cs="Arial"/>
                <w:color w:val="6C6361"/>
                <w:sz w:val="24"/>
                <w:szCs w:val="24"/>
              </w:rPr>
              <w:t>e Professor of Practice in Law,</w:t>
            </w:r>
          </w:p>
          <w:p w:rsidR="00F53F22" w:rsidRDefault="00F53F22" w:rsidP="00986D4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rsidR="00F53F22" w:rsidRDefault="00F53F22" w:rsidP="00986D4D">
            <w:pPr>
              <w:jc w:val="center"/>
              <w:rPr>
                <w:rFonts w:ascii="Arial" w:hAnsi="Arial" w:cs="Arial"/>
                <w:color w:val="6C6361"/>
                <w:sz w:val="24"/>
                <w:szCs w:val="24"/>
              </w:rPr>
            </w:pPr>
            <w:r>
              <w:rPr>
                <w:rFonts w:ascii="Arial" w:hAnsi="Arial" w:cs="Arial"/>
                <w:color w:val="6C6361"/>
                <w:sz w:val="24"/>
                <w:szCs w:val="24"/>
              </w:rPr>
              <w:t>The Faculty of Law,</w:t>
            </w:r>
          </w:p>
          <w:p w:rsidR="00F53F22" w:rsidRPr="007E02E6" w:rsidRDefault="00F53F22" w:rsidP="00986D4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rsidR="00F53F22" w:rsidRPr="00D87ECF" w:rsidRDefault="00F53F22" w:rsidP="00986D4D">
            <w:pPr>
              <w:jc w:val="center"/>
              <w:rPr>
                <w:rFonts w:ascii="Arial" w:hAnsi="Arial" w:cs="Arial"/>
                <w:color w:val="6C6361"/>
                <w:sz w:val="8"/>
                <w:szCs w:val="8"/>
              </w:rPr>
            </w:pPr>
          </w:p>
        </w:tc>
        <w:tc>
          <w:tcPr>
            <w:tcW w:w="5976" w:type="dxa"/>
            <w:shd w:val="clear" w:color="auto" w:fill="FFFFFF"/>
            <w:vAlign w:val="center"/>
          </w:tcPr>
          <w:p w:rsidR="00F53F22" w:rsidRPr="00D50772" w:rsidRDefault="00F53F22" w:rsidP="00986D4D">
            <w:pPr>
              <w:spacing w:line="276" w:lineRule="auto"/>
              <w:rPr>
                <w:rFonts w:ascii="Arial" w:eastAsia="Times New Roman" w:hAnsi="Arial" w:cs="Arial"/>
                <w:noProof/>
                <w:sz w:val="20"/>
                <w:szCs w:val="20"/>
              </w:rPr>
            </w:pPr>
            <w:r w:rsidRPr="008B6431">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7DA7AB4F" wp14:editId="2463FC92">
                  <wp:simplePos x="0" y="0"/>
                  <wp:positionH relativeFrom="column">
                    <wp:posOffset>3172460</wp:posOffset>
                  </wp:positionH>
                  <wp:positionV relativeFrom="paragraph">
                    <wp:posOffset>-67945</wp:posOffset>
                  </wp:positionV>
                  <wp:extent cx="539750" cy="546735"/>
                  <wp:effectExtent l="0" t="0" r="0" b="5715"/>
                  <wp:wrapNone/>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ADD4515" wp14:editId="05AFFA85">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F53F22" w:rsidRPr="00643794" w:rsidRDefault="00F53F22" w:rsidP="00F53F22">
      <w:pPr>
        <w:spacing w:line="276" w:lineRule="auto"/>
        <w:jc w:val="left"/>
        <w:rPr>
          <w:rFonts w:ascii="Arial" w:hAnsi="Arial" w:cs="Arial"/>
          <w:sz w:val="18"/>
          <w:szCs w:val="18"/>
        </w:rPr>
      </w:pPr>
    </w:p>
    <w:tbl>
      <w:tblPr>
        <w:tblW w:w="10773" w:type="dxa"/>
        <w:jc w:val="center"/>
        <w:tblLook w:val="04A0" w:firstRow="1" w:lastRow="0" w:firstColumn="1" w:lastColumn="0" w:noHBand="0" w:noVBand="1"/>
      </w:tblPr>
      <w:tblGrid>
        <w:gridCol w:w="1985"/>
        <w:gridCol w:w="8788"/>
      </w:tblGrid>
      <w:tr w:rsidR="00F53F22" w:rsidRPr="000F3FFC" w:rsidTr="00986D4D">
        <w:trPr>
          <w:trHeight w:val="2515"/>
          <w:jc w:val="center"/>
        </w:trPr>
        <w:tc>
          <w:tcPr>
            <w:tcW w:w="1985" w:type="dxa"/>
            <w:shd w:val="clear" w:color="auto" w:fill="FFFFFF"/>
            <w:vAlign w:val="center"/>
          </w:tcPr>
          <w:p w:rsidR="00F53F22" w:rsidRPr="000F3FFC" w:rsidRDefault="00F53F22" w:rsidP="00986D4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4B2A6328" wp14:editId="342AE121">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F53F22" w:rsidRPr="001900E2" w:rsidRDefault="00F53F22" w:rsidP="00F53F22">
            <w:pPr>
              <w:pStyle w:val="NormalWeb"/>
              <w:jc w:val="both"/>
              <w:rPr>
                <w:rFonts w:ascii="Arial" w:hAnsi="Arial" w:cs="Arial"/>
                <w:color w:val="6C6361"/>
                <w:sz w:val="21"/>
                <w:szCs w:val="21"/>
              </w:rPr>
            </w:pPr>
            <w:r w:rsidRPr="001900E2">
              <w:rPr>
                <w:rFonts w:ascii="Arial" w:hAnsi="Arial" w:cs="Arial"/>
                <w:color w:val="6C6361"/>
                <w:sz w:val="21"/>
                <w:szCs w:val="21"/>
              </w:rPr>
              <w:t xml:space="preserve">Steven Gallagher was awarded a first class LL.B. He was called to the Bar of England and Wales in 2006. Steven has taught Equity and Trusts, Land Law and Company Law to undergraduates and International Corporate Liquidation and International Corporate Governance to postgraduates in England and Hong Kong. Steven teaches the Equity and Trusts courses for undergraduate students, the Principles of Equity and Trusts course on the Juris Doctor course and, in 2013, introduced the Principles of Cultural Heritage Law course to the LLM </w:t>
            </w:r>
            <w:proofErr w:type="spellStart"/>
            <w:r w:rsidRPr="001900E2">
              <w:rPr>
                <w:rFonts w:ascii="Arial" w:hAnsi="Arial" w:cs="Arial"/>
                <w:color w:val="6C6361"/>
                <w:sz w:val="21"/>
                <w:szCs w:val="21"/>
              </w:rPr>
              <w:t>programme</w:t>
            </w:r>
            <w:proofErr w:type="spellEnd"/>
            <w:r w:rsidRPr="001900E2">
              <w:rPr>
                <w:rFonts w:ascii="Arial" w:hAnsi="Arial" w:cs="Arial"/>
                <w:color w:val="6C6361"/>
                <w:sz w:val="21"/>
                <w:szCs w:val="21"/>
              </w:rPr>
              <w:t xml:space="preserve"> at the Chinese University of Hong Kong. Steven has presented continuing professional development courses for solicitors in Hong Kong on many topics associated with equity. Steven’s research interests include equity and the law of trusts, cultural heritage law and legal history.</w:t>
            </w:r>
          </w:p>
        </w:tc>
      </w:tr>
    </w:tbl>
    <w:p w:rsidR="00F53F22" w:rsidRPr="00643794" w:rsidRDefault="00F53F22" w:rsidP="00F53F22">
      <w:pPr>
        <w:spacing w:line="276" w:lineRule="auto"/>
        <w:jc w:val="left"/>
        <w:rPr>
          <w:rFonts w:ascii="Arial" w:hAnsi="Arial" w:cs="Arial"/>
          <w:sz w:val="18"/>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5386"/>
      </w:tblGrid>
      <w:tr w:rsidR="00F53F22" w:rsidRPr="001900E2" w:rsidTr="00986D4D">
        <w:trPr>
          <w:trHeight w:val="1987"/>
          <w:jc w:val="center"/>
        </w:trPr>
        <w:tc>
          <w:tcPr>
            <w:tcW w:w="10773" w:type="dxa"/>
            <w:gridSpan w:val="2"/>
            <w:tcBorders>
              <w:top w:val="nil"/>
              <w:bottom w:val="nil"/>
            </w:tcBorders>
            <w:shd w:val="clear" w:color="auto" w:fill="FFFFFF" w:themeFill="background1"/>
            <w:vAlign w:val="center"/>
          </w:tcPr>
          <w:p w:rsidR="00F53F22" w:rsidRPr="001900E2" w:rsidRDefault="00F53F22" w:rsidP="00986D4D">
            <w:pPr>
              <w:spacing w:line="276" w:lineRule="auto"/>
              <w:rPr>
                <w:rFonts w:ascii="Arial" w:hAnsi="Arial" w:cs="Arial"/>
                <w:color w:val="6C6361"/>
                <w:sz w:val="20"/>
                <w:szCs w:val="20"/>
              </w:rPr>
            </w:pPr>
            <w:r w:rsidRPr="001900E2">
              <w:rPr>
                <w:rFonts w:ascii="Arial" w:hAnsi="Arial" w:cs="Arial"/>
                <w:color w:val="6C6361"/>
                <w:sz w:val="20"/>
                <w:szCs w:val="20"/>
              </w:rPr>
              <w:t>This 3-hour seminar will provide an introduction to the law which may protect cultural heritage in Hong Kong.  The seminar will begin by considering what is meant by the term “cultural heritage” and then continue by considering what may constitute cultural heritage in Hong Kong.  The seminar will then consider the law which may protect this cultural heritage in Hong Kong and the issues that have arisen with regard to cultural heritage protection in Hong Kong.  The seminar will consider built heritage, Hong Kong’s part in the illicit trade in cultural heritage, in particular the illicit trade in antiquities looted from China, and Hong Kong’s intangible cultural heritage.  Issues that will be considered included the Queen’s Pier, Ho Tung Gardens, HMS Tamar and the mummified monk in the ancient Buddha statue.</w:t>
            </w:r>
            <w:r w:rsidRPr="001900E2">
              <w:rPr>
                <w:rFonts w:ascii="Arial" w:hAnsi="Arial" w:cs="Arial"/>
                <w:noProof/>
                <w:color w:val="6C6361"/>
                <w:sz w:val="20"/>
                <w:szCs w:val="20"/>
              </w:rPr>
              <w:t xml:space="preserve"> </w:t>
            </w:r>
          </w:p>
        </w:tc>
      </w:tr>
      <w:tr w:rsidR="00F53F22" w:rsidRPr="001900E2" w:rsidTr="00986D4D">
        <w:trPr>
          <w:trHeight w:val="340"/>
          <w:jc w:val="center"/>
        </w:trPr>
        <w:tc>
          <w:tcPr>
            <w:tcW w:w="10773" w:type="dxa"/>
            <w:gridSpan w:val="2"/>
            <w:tcBorders>
              <w:top w:val="nil"/>
              <w:bottom w:val="nil"/>
            </w:tcBorders>
            <w:shd w:val="clear" w:color="auto" w:fill="F0EBE1"/>
            <w:vAlign w:val="center"/>
          </w:tcPr>
          <w:p w:rsidR="00F53F22" w:rsidRPr="001900E2" w:rsidRDefault="00F53F22" w:rsidP="00986D4D">
            <w:pPr>
              <w:spacing w:line="276" w:lineRule="auto"/>
              <w:jc w:val="left"/>
              <w:rPr>
                <w:rFonts w:ascii="Arial" w:hAnsi="Arial" w:cs="Arial"/>
                <w:b/>
                <w:color w:val="524B48"/>
                <w:sz w:val="20"/>
                <w:szCs w:val="20"/>
              </w:rPr>
            </w:pPr>
            <w:r w:rsidRPr="001900E2">
              <w:rPr>
                <w:rFonts w:ascii="Arial" w:hAnsi="Arial" w:cs="Arial"/>
                <w:b/>
                <w:color w:val="524B48"/>
                <w:sz w:val="20"/>
                <w:szCs w:val="20"/>
              </w:rPr>
              <w:t>Some of the topics considered in this seminar will be:</w:t>
            </w:r>
          </w:p>
        </w:tc>
      </w:tr>
      <w:tr w:rsidR="00F53F22" w:rsidRPr="001900E2" w:rsidTr="00986D4D">
        <w:trPr>
          <w:trHeight w:val="2504"/>
          <w:jc w:val="center"/>
        </w:trPr>
        <w:tc>
          <w:tcPr>
            <w:tcW w:w="5387" w:type="dxa"/>
            <w:tcBorders>
              <w:top w:val="nil"/>
              <w:bottom w:val="nil"/>
              <w:right w:val="nil"/>
            </w:tcBorders>
            <w:shd w:val="clear" w:color="auto" w:fill="FFFFFF" w:themeFill="background1"/>
            <w:vAlign w:val="center"/>
          </w:tcPr>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What is cultural heritage?</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What is cultural heritage law?</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Has Hong Kong got any cultural heritage?</w:t>
            </w:r>
          </w:p>
          <w:p w:rsidR="00F53F22" w:rsidRPr="001900E2" w:rsidRDefault="00F53F22" w:rsidP="00986D4D">
            <w:pPr>
              <w:pStyle w:val="ListParagraph"/>
              <w:numPr>
                <w:ilvl w:val="0"/>
                <w:numId w:val="2"/>
              </w:numPr>
              <w:spacing w:line="276" w:lineRule="auto"/>
              <w:ind w:right="-391"/>
              <w:jc w:val="left"/>
              <w:rPr>
                <w:rFonts w:ascii="Arial" w:hAnsi="Arial" w:cs="Arial"/>
                <w:color w:val="6C6361"/>
                <w:sz w:val="20"/>
                <w:szCs w:val="20"/>
              </w:rPr>
            </w:pPr>
            <w:r w:rsidRPr="001900E2">
              <w:rPr>
                <w:rFonts w:ascii="Arial" w:hAnsi="Arial" w:cs="Arial"/>
                <w:color w:val="6C6361"/>
                <w:sz w:val="20"/>
                <w:szCs w:val="20"/>
              </w:rPr>
              <w:t>What laws may protect cultural heritage in Hong Kong?</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How have these laws developed?</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Are these laws effective?</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Pr>
                <w:rFonts w:ascii="Arial" w:hAnsi="Arial" w:cs="Arial"/>
                <w:color w:val="6C6361"/>
                <w:sz w:val="20"/>
                <w:szCs w:val="20"/>
              </w:rPr>
              <w:t>The Queen’s Pier;</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Ho Tung Gardens;</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HMS Tamar;</w:t>
            </w:r>
          </w:p>
        </w:tc>
        <w:tc>
          <w:tcPr>
            <w:tcW w:w="5386" w:type="dxa"/>
            <w:tcBorders>
              <w:top w:val="nil"/>
              <w:left w:val="nil"/>
              <w:bottom w:val="nil"/>
            </w:tcBorders>
            <w:shd w:val="clear" w:color="auto" w:fill="FFFFFF" w:themeFill="background1"/>
            <w:vAlign w:val="center"/>
          </w:tcPr>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Hong Kong’s part in the illicit trade in antiques and antiquities;</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643794">
              <w:rPr>
                <w:rFonts w:ascii="Arial" w:hAnsi="Arial" w:cs="Arial"/>
                <w:noProof/>
                <w:color w:val="6C6361"/>
                <w:sz w:val="20"/>
                <w:szCs w:val="20"/>
              </w:rPr>
              <w:drawing>
                <wp:anchor distT="0" distB="0" distL="114300" distR="114300" simplePos="0" relativeHeight="251660288" behindDoc="0" locked="0" layoutInCell="1" allowOverlap="1" wp14:anchorId="6C0B8288" wp14:editId="109B898E">
                  <wp:simplePos x="0" y="0"/>
                  <wp:positionH relativeFrom="column">
                    <wp:posOffset>2306320</wp:posOffset>
                  </wp:positionH>
                  <wp:positionV relativeFrom="paragraph">
                    <wp:posOffset>49530</wp:posOffset>
                  </wp:positionV>
                  <wp:extent cx="892175" cy="101854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17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0E2">
              <w:rPr>
                <w:rFonts w:ascii="Arial" w:hAnsi="Arial" w:cs="Arial"/>
                <w:color w:val="6C6361"/>
                <w:sz w:val="20"/>
                <w:szCs w:val="20"/>
              </w:rPr>
              <w:t>The curious case of the mummified monk in the ancient Buddha statue;</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Intangible cultural heritage protection in Hong Kong;</w:t>
            </w:r>
          </w:p>
          <w:p w:rsidR="00F53F22" w:rsidRPr="001900E2" w:rsidRDefault="00F53F22" w:rsidP="00986D4D">
            <w:pPr>
              <w:pStyle w:val="ListParagraph"/>
              <w:numPr>
                <w:ilvl w:val="0"/>
                <w:numId w:val="2"/>
              </w:numPr>
              <w:spacing w:line="276" w:lineRule="auto"/>
              <w:jc w:val="left"/>
              <w:rPr>
                <w:rFonts w:ascii="Arial" w:hAnsi="Arial" w:cs="Arial"/>
                <w:color w:val="6C6361"/>
                <w:sz w:val="20"/>
                <w:szCs w:val="20"/>
              </w:rPr>
            </w:pPr>
            <w:r w:rsidRPr="001900E2">
              <w:rPr>
                <w:rFonts w:ascii="Arial" w:hAnsi="Arial" w:cs="Arial"/>
                <w:color w:val="6C6361"/>
                <w:sz w:val="20"/>
                <w:szCs w:val="20"/>
              </w:rPr>
              <w:t>The future for the protection of cultural heritage in Hong Kong.</w:t>
            </w:r>
            <w:r w:rsidRPr="001900E2">
              <w:rPr>
                <w:rFonts w:ascii="Arial" w:hAnsi="Arial" w:cs="Arial"/>
                <w:noProof/>
                <w:color w:val="6C6361"/>
                <w:sz w:val="20"/>
                <w:szCs w:val="20"/>
              </w:rPr>
              <w:t xml:space="preserve"> </w:t>
            </w:r>
          </w:p>
        </w:tc>
      </w:tr>
    </w:tbl>
    <w:p w:rsidR="00680C81" w:rsidRPr="00C0125D" w:rsidRDefault="00680C81" w:rsidP="00680C81">
      <w:pPr>
        <w:spacing w:line="276" w:lineRule="auto"/>
        <w:rPr>
          <w:rFonts w:ascii="Arial" w:hAnsi="Arial" w:cs="Arial"/>
          <w:sz w:val="20"/>
          <w:szCs w:val="18"/>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70"/>
        <w:gridCol w:w="1315"/>
      </w:tblGrid>
      <w:tr w:rsidR="00F53F22" w:rsidRPr="00320F79" w:rsidTr="00961D9A">
        <w:trPr>
          <w:trHeight w:val="340"/>
          <w:jc w:val="center"/>
        </w:trPr>
        <w:tc>
          <w:tcPr>
            <w:tcW w:w="1701" w:type="dxa"/>
            <w:tcBorders>
              <w:top w:val="nil"/>
              <w:left w:val="nil"/>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EVT000000237</w:t>
            </w:r>
          </w:p>
        </w:tc>
        <w:tc>
          <w:tcPr>
            <w:tcW w:w="1701" w:type="dxa"/>
            <w:tcBorders>
              <w:top w:val="nil"/>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F53F22"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F53F22"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16 August 2018 (Thursday)</w:t>
            </w:r>
          </w:p>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F53F22" w:rsidRPr="00320F79" w:rsidTr="00961D9A">
        <w:trPr>
          <w:trHeight w:val="340"/>
          <w:jc w:val="center"/>
        </w:trPr>
        <w:tc>
          <w:tcPr>
            <w:tcW w:w="1701" w:type="dxa"/>
            <w:tcBorders>
              <w:top w:val="single" w:sz="12" w:space="0" w:color="FFFFFF"/>
              <w:left w:val="nil"/>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F53F22" w:rsidRPr="00320F79"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F53F22" w:rsidRPr="00E843DA" w:rsidRDefault="00F53F22" w:rsidP="00F53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3.0 </w:t>
            </w:r>
            <w:r w:rsidRPr="00320F79">
              <w:rPr>
                <w:rFonts w:ascii="Arial" w:hAnsi="Arial" w:cs="Arial"/>
                <w:b/>
                <w:color w:val="6C6361"/>
                <w:sz w:val="20"/>
                <w:szCs w:val="20"/>
              </w:rPr>
              <w:t>CPD Points</w:t>
            </w:r>
          </w:p>
        </w:tc>
      </w:tr>
      <w:tr w:rsidR="00680C81" w:rsidRPr="00320F79" w:rsidTr="00961D9A">
        <w:trPr>
          <w:trHeight w:val="1247"/>
          <w:jc w:val="center"/>
        </w:trPr>
        <w:tc>
          <w:tcPr>
            <w:tcW w:w="1701" w:type="dxa"/>
            <w:tcBorders>
              <w:top w:val="single" w:sz="12" w:space="0" w:color="FFFFFF"/>
              <w:left w:val="nil"/>
              <w:bottom w:val="nil"/>
            </w:tcBorders>
            <w:shd w:val="clear" w:color="auto" w:fill="F0EBE1"/>
            <w:vAlign w:val="center"/>
          </w:tcPr>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80C81" w:rsidRPr="00320F79" w:rsidRDefault="00680C81" w:rsidP="00961D9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80C81" w:rsidRPr="00320F79"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80C81" w:rsidRDefault="00680C81" w:rsidP="00961D9A">
            <w:pPr>
              <w:jc w:val="right"/>
              <w:rPr>
                <w:rFonts w:ascii="Arial" w:hAnsi="Arial" w:cs="Arial"/>
                <w:b/>
                <w:color w:val="6C6361"/>
                <w:sz w:val="20"/>
                <w:szCs w:val="20"/>
              </w:rPr>
            </w:pPr>
          </w:p>
          <w:p w:rsidR="00680C81" w:rsidRDefault="00680C81" w:rsidP="00961D9A">
            <w:pPr>
              <w:jc w:val="right"/>
              <w:rPr>
                <w:rFonts w:ascii="Arial" w:hAnsi="Arial" w:cs="Arial"/>
                <w:b/>
                <w:color w:val="6C6361"/>
                <w:sz w:val="20"/>
                <w:szCs w:val="20"/>
              </w:rPr>
            </w:pPr>
          </w:p>
          <w:p w:rsidR="00680C81" w:rsidRPr="00320F79" w:rsidRDefault="00680C81" w:rsidP="00961D9A">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224BF391" wp14:editId="56CBBC45">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80C81" w:rsidRPr="00E2201B" w:rsidRDefault="00680C81" w:rsidP="00961D9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70" w:type="dxa"/>
            <w:tcBorders>
              <w:top w:val="single" w:sz="12" w:space="0" w:color="F0EBE1"/>
              <w:bottom w:val="nil"/>
              <w:right w:val="nil"/>
            </w:tcBorders>
            <w:shd w:val="clear" w:color="auto" w:fill="FFFFFF"/>
            <w:vAlign w:val="center"/>
          </w:tcPr>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680C81" w:rsidRPr="003A2A41"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15" w:type="dxa"/>
            <w:tcBorders>
              <w:top w:val="single" w:sz="12" w:space="0" w:color="F0EBE1"/>
              <w:left w:val="nil"/>
              <w:bottom w:val="nil"/>
              <w:right w:val="nil"/>
            </w:tcBorders>
            <w:shd w:val="clear" w:color="auto" w:fill="FFFFFF"/>
            <w:vAlign w:val="center"/>
          </w:tcPr>
          <w:p w:rsidR="00680C81" w:rsidRPr="00156567" w:rsidRDefault="00680C81" w:rsidP="00961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1027E8D" wp14:editId="37BDDF1C">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680C81" w:rsidRDefault="00214BC6" w:rsidP="00680C81">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03" w:rsidRDefault="00F81703" w:rsidP="00546556">
      <w:r>
        <w:separator/>
      </w:r>
    </w:p>
  </w:endnote>
  <w:endnote w:type="continuationSeparator" w:id="0">
    <w:p w:rsidR="00F81703" w:rsidRDefault="00F8170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03" w:rsidRDefault="00F81703" w:rsidP="00546556">
      <w:r>
        <w:separator/>
      </w:r>
    </w:p>
  </w:footnote>
  <w:footnote w:type="continuationSeparator" w:id="0">
    <w:p w:rsidR="00F81703" w:rsidRDefault="00F8170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T70zYsHIGX0Pz5h6anWhOXlTXUUaSfkie1cFNMtx4sUO/NRZuIhqZmSjlAvQjrbHMh3/L32U29xrOOnUyi9vJQ==" w:salt="p9edZo69sZ5MPbee07+eZ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785"/>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3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E162-1D80-41F8-9A65-EE09859D7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444</Words>
  <Characters>2533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CPD Course: Trustees and Fiduciaries: Liability for and Defences to Claims for Breach of Trust and Breach of Fiduciary Duty</vt:lpstr>
    </vt:vector>
  </TitlesOfParts>
  <Manager>Tyrone Tsang</Manager>
  <Company>The Profectional Company Limited</Company>
  <LinksUpToDate>false</LinksUpToDate>
  <CharactersWithSpaces>2972</CharactersWithSpaces>
  <SharedDoc>false</SharedDoc>
  <HyperlinkBase>http://download.profectional.com/events/EVT000000237.docx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Protecting Cultural Heritage in Hong Kong</dc:title>
  <dc:subject>CPD Course: Protecting Cultural Heritage in Hong Kong</dc:subject>
  <dc:creator>The Profectional Company Limited</dc:creator>
  <cp:keywords>Profectional; Kornerstone; CPD; CPT; CLE; CE; RME; Steven Gallagher; Associate Professor of Practice in Law; Associate Dean (Teaching &amp; Learning);The Faculty of Law; The Chinese University of Hong Kong</cp:keywords>
  <cp:lastModifiedBy>Tyrone Tsang</cp:lastModifiedBy>
  <cp:revision>35</cp:revision>
  <cp:lastPrinted>2018-07-11T14:57:00Z</cp:lastPrinted>
  <dcterms:created xsi:type="dcterms:W3CDTF">2017-01-12T02:41:00Z</dcterms:created>
  <dcterms:modified xsi:type="dcterms:W3CDTF">2018-08-16T01:11:00Z</dcterms:modified>
</cp:coreProperties>
</file>