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CAA" w:rsidRPr="00A56CAA" w:rsidRDefault="00A56CAA" w:rsidP="00A56CA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56CAA" w:rsidRPr="00523A64" w:rsidTr="006C0391">
        <w:trPr>
          <w:trHeight w:val="3119"/>
          <w:jc w:val="center"/>
        </w:trPr>
        <w:tc>
          <w:tcPr>
            <w:tcW w:w="4820" w:type="dxa"/>
            <w:shd w:val="clear" w:color="auto" w:fill="FFFFFF"/>
            <w:vAlign w:val="center"/>
          </w:tcPr>
          <w:p w:rsidR="00A56CAA" w:rsidRPr="001A3018" w:rsidRDefault="00A56CAA" w:rsidP="006C0391">
            <w:pPr>
              <w:jc w:val="center"/>
              <w:rPr>
                <w:rFonts w:ascii="Arial" w:hAnsi="Arial" w:cs="Arial"/>
                <w:b/>
                <w:bCs/>
                <w:color w:val="524B48"/>
                <w:sz w:val="4"/>
                <w:szCs w:val="4"/>
              </w:rPr>
            </w:pPr>
          </w:p>
          <w:p w:rsidR="00A56CAA" w:rsidRPr="001C104E" w:rsidRDefault="00A56CAA" w:rsidP="006C0391">
            <w:pPr>
              <w:jc w:val="center"/>
              <w:rPr>
                <w:rStyle w:val="Hyperlink"/>
                <w:rFonts w:ascii="Arial" w:hAnsi="Arial" w:cs="Arial"/>
                <w:b/>
                <w:bCs/>
                <w:color w:val="524B48"/>
                <w:sz w:val="32"/>
                <w:szCs w:val="32"/>
                <w:u w:val="none"/>
              </w:rPr>
            </w:pPr>
            <w:r>
              <w:fldChar w:fldCharType="begin"/>
            </w:r>
            <w:r>
              <w:instrText>HYPERLINK "http://cpd.hk/evt000000248/"</w:instrText>
            </w:r>
            <w:r>
              <w:fldChar w:fldCharType="separate"/>
            </w:r>
            <w:r w:rsidRPr="001C104E">
              <w:rPr>
                <w:rStyle w:val="Hyperlink"/>
                <w:rFonts w:ascii="Arial" w:hAnsi="Arial" w:cs="Arial"/>
                <w:b/>
                <w:bCs/>
                <w:color w:val="524B48"/>
                <w:sz w:val="32"/>
                <w:szCs w:val="32"/>
                <w:u w:val="none"/>
              </w:rPr>
              <w:t>Offshore</w:t>
            </w:r>
          </w:p>
          <w:p w:rsidR="00A56CAA" w:rsidRPr="001C104E" w:rsidRDefault="00A56CAA" w:rsidP="006C0391">
            <w:pPr>
              <w:jc w:val="center"/>
              <w:rPr>
                <w:rStyle w:val="Hyperlink"/>
                <w:rFonts w:ascii="Arial" w:hAnsi="Arial" w:cs="Arial"/>
                <w:b/>
                <w:bCs/>
                <w:color w:val="524B48"/>
                <w:sz w:val="32"/>
                <w:szCs w:val="32"/>
                <w:u w:val="none"/>
              </w:rPr>
            </w:pPr>
            <w:r w:rsidRPr="001C104E">
              <w:rPr>
                <w:rStyle w:val="Hyperlink"/>
                <w:rFonts w:ascii="Arial" w:hAnsi="Arial" w:cs="Arial"/>
                <w:b/>
                <w:bCs/>
                <w:color w:val="524B48"/>
                <w:sz w:val="32"/>
                <w:szCs w:val="32"/>
                <w:u w:val="none"/>
              </w:rPr>
              <w:t>Shareholder Disputes</w:t>
            </w:r>
          </w:p>
          <w:p w:rsidR="00A56CAA" w:rsidRPr="001C104E" w:rsidRDefault="00A56CAA" w:rsidP="006C0391">
            <w:pPr>
              <w:jc w:val="center"/>
              <w:rPr>
                <w:rStyle w:val="Hyperlink"/>
                <w:rFonts w:ascii="Arial" w:hAnsi="Arial" w:cs="Arial"/>
                <w:b/>
                <w:bCs/>
                <w:color w:val="524B48"/>
                <w:sz w:val="32"/>
                <w:szCs w:val="32"/>
                <w:u w:val="none"/>
              </w:rPr>
            </w:pPr>
            <w:r w:rsidRPr="001C104E">
              <w:rPr>
                <w:rStyle w:val="Hyperlink"/>
                <w:rFonts w:ascii="Arial" w:hAnsi="Arial" w:cs="Arial"/>
                <w:b/>
                <w:bCs/>
                <w:color w:val="524B48"/>
                <w:sz w:val="32"/>
                <w:szCs w:val="32"/>
                <w:u w:val="none"/>
              </w:rPr>
              <w:t>and the Interplay Between</w:t>
            </w:r>
          </w:p>
          <w:p w:rsidR="00A56CAA" w:rsidRPr="001C104E" w:rsidRDefault="00A56CAA" w:rsidP="006C0391">
            <w:pPr>
              <w:jc w:val="center"/>
              <w:rPr>
                <w:rStyle w:val="Hyperlink"/>
                <w:rFonts w:ascii="Arial" w:hAnsi="Arial" w:cs="Arial"/>
                <w:b/>
                <w:bCs/>
                <w:color w:val="524B48"/>
                <w:sz w:val="32"/>
                <w:szCs w:val="32"/>
                <w:u w:val="none"/>
              </w:rPr>
            </w:pPr>
            <w:r w:rsidRPr="001C104E">
              <w:rPr>
                <w:rStyle w:val="Hyperlink"/>
                <w:rFonts w:ascii="Arial" w:hAnsi="Arial" w:cs="Arial"/>
                <w:b/>
                <w:bCs/>
                <w:color w:val="524B48"/>
                <w:sz w:val="32"/>
                <w:szCs w:val="32"/>
                <w:u w:val="none"/>
              </w:rPr>
              <w:t>the Offshore</w:t>
            </w:r>
          </w:p>
          <w:p w:rsidR="00A56CAA" w:rsidRDefault="00A56CAA" w:rsidP="006C0391">
            <w:pPr>
              <w:jc w:val="center"/>
              <w:rPr>
                <w:rStyle w:val="Hyperlink"/>
                <w:rFonts w:ascii="Arial" w:hAnsi="Arial" w:cs="Arial"/>
                <w:b/>
                <w:bCs/>
                <w:color w:val="524B48"/>
                <w:sz w:val="32"/>
                <w:szCs w:val="32"/>
                <w:u w:val="none"/>
              </w:rPr>
            </w:pPr>
            <w:r w:rsidRPr="001C104E">
              <w:rPr>
                <w:rStyle w:val="Hyperlink"/>
                <w:rFonts w:ascii="Arial" w:hAnsi="Arial" w:cs="Arial"/>
                <w:b/>
                <w:bCs/>
                <w:color w:val="524B48"/>
                <w:sz w:val="32"/>
                <w:szCs w:val="32"/>
                <w:u w:val="none"/>
              </w:rPr>
              <w:t>and Hong Kong Courts</w:t>
            </w:r>
          </w:p>
          <w:p w:rsidR="00A56CAA" w:rsidRPr="00C65AFD" w:rsidRDefault="00A56CAA" w:rsidP="006C0391">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A56CAA" w:rsidRPr="00C65AFD" w:rsidRDefault="00A56CAA" w:rsidP="006C0391">
            <w:pPr>
              <w:jc w:val="center"/>
              <w:rPr>
                <w:rFonts w:ascii="Arial" w:hAnsi="Arial" w:cs="Arial"/>
                <w:i/>
                <w:color w:val="6C6361"/>
                <w:sz w:val="24"/>
                <w:szCs w:val="24"/>
              </w:rPr>
            </w:pPr>
            <w:r w:rsidRPr="00C65AFD">
              <w:rPr>
                <w:rFonts w:ascii="Arial" w:hAnsi="Arial" w:cs="Arial"/>
                <w:i/>
                <w:color w:val="6C6361"/>
                <w:sz w:val="24"/>
                <w:szCs w:val="24"/>
              </w:rPr>
              <w:t>by</w:t>
            </w:r>
          </w:p>
          <w:p w:rsidR="00A56CAA" w:rsidRDefault="00A56CAA" w:rsidP="006C0391">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Ian Mann</w:t>
              </w:r>
            </w:hyperlink>
            <w:r w:rsidRPr="00813E0C">
              <w:rPr>
                <w:rFonts w:ascii="Arial" w:hAnsi="Arial" w:cs="Arial"/>
                <w:color w:val="6C6361"/>
                <w:sz w:val="24"/>
                <w:szCs w:val="24"/>
              </w:rPr>
              <w:t>,</w:t>
            </w:r>
            <w:r>
              <w:rPr>
                <w:rFonts w:ascii="Arial" w:hAnsi="Arial" w:cs="Arial"/>
                <w:color w:val="6C6361"/>
                <w:sz w:val="24"/>
                <w:szCs w:val="24"/>
              </w:rPr>
              <w:t xml:space="preserve"> Partner</w:t>
            </w:r>
          </w:p>
          <w:p w:rsidR="00A56CAA" w:rsidRDefault="00A56CAA" w:rsidP="006C0391">
            <w:pPr>
              <w:jc w:val="center"/>
              <w:rPr>
                <w:rFonts w:ascii="Arial" w:hAnsi="Arial" w:cs="Arial"/>
                <w:color w:val="6C6361"/>
                <w:sz w:val="24"/>
                <w:szCs w:val="24"/>
              </w:rPr>
            </w:pPr>
            <w:r>
              <w:rPr>
                <w:rFonts w:ascii="Arial" w:hAnsi="Arial" w:cs="Arial"/>
                <w:i/>
                <w:color w:val="6C6361"/>
                <w:sz w:val="24"/>
                <w:szCs w:val="24"/>
              </w:rPr>
              <w:t xml:space="preserve">&amp; </w:t>
            </w:r>
            <w:hyperlink r:id="rId9"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Vicky Lord</w:t>
              </w:r>
            </w:hyperlink>
            <w:r w:rsidRPr="00813E0C">
              <w:rPr>
                <w:rFonts w:ascii="Arial" w:hAnsi="Arial" w:cs="Arial"/>
                <w:color w:val="6C6361"/>
                <w:sz w:val="24"/>
                <w:szCs w:val="24"/>
              </w:rPr>
              <w:t>,</w:t>
            </w:r>
            <w:r>
              <w:rPr>
                <w:rFonts w:ascii="Arial" w:hAnsi="Arial" w:cs="Arial"/>
                <w:color w:val="6C6361"/>
                <w:sz w:val="24"/>
                <w:szCs w:val="24"/>
              </w:rPr>
              <w:t xml:space="preserve"> Partner,</w:t>
            </w:r>
          </w:p>
          <w:p w:rsidR="00A56CAA" w:rsidRDefault="00A56CAA" w:rsidP="006C0391">
            <w:pPr>
              <w:jc w:val="center"/>
              <w:rPr>
                <w:rFonts w:ascii="Arial" w:hAnsi="Arial" w:cs="Arial"/>
                <w:color w:val="6C6361"/>
                <w:sz w:val="24"/>
                <w:szCs w:val="24"/>
              </w:rPr>
            </w:pPr>
            <w:r w:rsidRPr="005E254C">
              <w:rPr>
                <w:rFonts w:ascii="Arial" w:hAnsi="Arial" w:cs="Arial"/>
                <w:color w:val="6C6361"/>
                <w:sz w:val="24"/>
                <w:szCs w:val="24"/>
              </w:rPr>
              <w:t xml:space="preserve">Harney Westwood &amp; </w:t>
            </w:r>
            <w:proofErr w:type="spellStart"/>
            <w:r w:rsidRPr="005E254C">
              <w:rPr>
                <w:rFonts w:ascii="Arial" w:hAnsi="Arial" w:cs="Arial"/>
                <w:color w:val="6C6361"/>
                <w:sz w:val="24"/>
                <w:szCs w:val="24"/>
              </w:rPr>
              <w:t>Riegels</w:t>
            </w:r>
            <w:proofErr w:type="spellEnd"/>
            <w:r w:rsidRPr="005E254C">
              <w:rPr>
                <w:rFonts w:ascii="Arial" w:hAnsi="Arial" w:cs="Arial"/>
                <w:color w:val="6C6361"/>
                <w:sz w:val="24"/>
                <w:szCs w:val="24"/>
              </w:rPr>
              <w:t xml:space="preserve"> (</w:t>
            </w:r>
            <w:proofErr w:type="spellStart"/>
            <w:r w:rsidRPr="005E254C">
              <w:rPr>
                <w:rFonts w:ascii="Arial" w:hAnsi="Arial" w:cs="Arial"/>
                <w:color w:val="6C6361"/>
                <w:sz w:val="24"/>
                <w:szCs w:val="24"/>
              </w:rPr>
              <w:t>Harneys</w:t>
            </w:r>
            <w:proofErr w:type="spellEnd"/>
            <w:r w:rsidRPr="005E254C">
              <w:rPr>
                <w:rFonts w:ascii="Arial" w:hAnsi="Arial" w:cs="Arial"/>
                <w:color w:val="6C6361"/>
                <w:sz w:val="24"/>
                <w:szCs w:val="24"/>
              </w:rPr>
              <w:t>)</w:t>
            </w:r>
          </w:p>
          <w:p w:rsidR="00A56CAA" w:rsidRPr="005810E0" w:rsidRDefault="00A56CAA" w:rsidP="006C0391">
            <w:pPr>
              <w:jc w:val="center"/>
              <w:rPr>
                <w:rFonts w:ascii="Arial" w:hAnsi="Arial" w:cs="Arial"/>
                <w:color w:val="6C6361"/>
                <w:sz w:val="4"/>
                <w:szCs w:val="4"/>
              </w:rPr>
            </w:pPr>
          </w:p>
        </w:tc>
        <w:tc>
          <w:tcPr>
            <w:tcW w:w="5954" w:type="dxa"/>
            <w:shd w:val="clear" w:color="auto" w:fill="FFFFFF"/>
            <w:vAlign w:val="center"/>
          </w:tcPr>
          <w:p w:rsidR="00A56CAA" w:rsidRPr="00D50772" w:rsidRDefault="00A56CAA" w:rsidP="006C0391">
            <w:pPr>
              <w:spacing w:line="276" w:lineRule="auto"/>
              <w:jc w:val="center"/>
              <w:rPr>
                <w:rFonts w:ascii="Arial" w:eastAsia="Times New Roman" w:hAnsi="Arial" w:cs="Arial"/>
                <w:noProof/>
                <w:sz w:val="20"/>
                <w:szCs w:val="20"/>
              </w:rPr>
            </w:pPr>
            <w:r w:rsidRPr="000D1F17">
              <w:rPr>
                <w:rFonts w:ascii="Arial" w:hAnsi="Arial" w:cs="Arial"/>
                <w:i/>
                <w:noProof/>
                <w:color w:val="6C6361"/>
                <w:sz w:val="24"/>
                <w:szCs w:val="24"/>
              </w:rPr>
              <w:drawing>
                <wp:anchor distT="0" distB="0" distL="114300" distR="114300" simplePos="0" relativeHeight="251659264" behindDoc="0" locked="0" layoutInCell="1" allowOverlap="1" wp14:anchorId="3355E224" wp14:editId="00D13FAC">
                  <wp:simplePos x="0" y="0"/>
                  <wp:positionH relativeFrom="column">
                    <wp:posOffset>3175635</wp:posOffset>
                  </wp:positionH>
                  <wp:positionV relativeFrom="paragraph">
                    <wp:posOffset>-118745</wp:posOffset>
                  </wp:positionV>
                  <wp:extent cx="539750" cy="546735"/>
                  <wp:effectExtent l="0" t="0" r="0" b="5715"/>
                  <wp:wrapNone/>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6844C9F" wp14:editId="4C7C773C">
                  <wp:extent cx="3657600" cy="1828800"/>
                  <wp:effectExtent l="0" t="0" r="0" b="0"/>
                  <wp:docPr id="3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56CAA" w:rsidRPr="007D1DDD" w:rsidRDefault="00A56CAA" w:rsidP="00A56CA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5386"/>
        <w:gridCol w:w="5387"/>
      </w:tblGrid>
      <w:tr w:rsidR="00A56CAA" w:rsidRPr="00F3214B" w:rsidTr="006C0391">
        <w:trPr>
          <w:trHeight w:val="1474"/>
          <w:jc w:val="center"/>
        </w:trPr>
        <w:tc>
          <w:tcPr>
            <w:tcW w:w="5387" w:type="dxa"/>
            <w:shd w:val="clear" w:color="auto" w:fill="FFFFFF"/>
            <w:vAlign w:val="center"/>
          </w:tcPr>
          <w:p w:rsidR="00A56CAA" w:rsidRPr="00D57141" w:rsidRDefault="00A56CAA" w:rsidP="006C0391">
            <w:pPr>
              <w:pStyle w:val="NormalWeb"/>
              <w:jc w:val="right"/>
              <w:rPr>
                <w:rFonts w:ascii="Arial" w:hAnsi="Arial" w:cs="Arial"/>
                <w:color w:val="323F48"/>
              </w:rPr>
            </w:pPr>
            <w:r w:rsidRPr="00D57141">
              <w:rPr>
                <w:rFonts w:ascii="Arial" w:hAnsi="Arial" w:cs="Arial"/>
                <w:i/>
                <w:color w:val="323F48"/>
              </w:rPr>
              <w:t>This course is presented by:</w:t>
            </w:r>
            <w:r w:rsidRPr="00D57141">
              <w:rPr>
                <w:rFonts w:ascii="Arial" w:hAnsi="Arial" w:cs="Arial"/>
                <w:color w:val="323F48"/>
              </w:rPr>
              <w:t xml:space="preserve"> </w:t>
            </w:r>
          </w:p>
        </w:tc>
        <w:tc>
          <w:tcPr>
            <w:tcW w:w="5387" w:type="dxa"/>
            <w:shd w:val="clear" w:color="auto" w:fill="FFFFFF"/>
            <w:vAlign w:val="center"/>
          </w:tcPr>
          <w:p w:rsidR="00A56CAA" w:rsidRPr="00F3214B" w:rsidRDefault="00A56CAA" w:rsidP="006C0391">
            <w:pPr>
              <w:pStyle w:val="NormalWeb"/>
              <w:rPr>
                <w:rFonts w:ascii="Arial" w:hAnsi="Arial" w:cs="Arial"/>
                <w:color w:val="6C6361"/>
              </w:rPr>
            </w:pPr>
            <w:r>
              <w:rPr>
                <w:rFonts w:ascii="Arial" w:hAnsi="Arial" w:cs="Arial"/>
                <w:noProof/>
                <w:color w:val="6C6361"/>
              </w:rPr>
              <w:drawing>
                <wp:inline distT="0" distB="0" distL="0" distR="0" wp14:anchorId="5DF70765" wp14:editId="68E39C49">
                  <wp:extent cx="2016000" cy="630000"/>
                  <wp:effectExtent l="0" t="0" r="381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GN000000855_20150127.jpg"/>
                          <pic:cNvPicPr/>
                        </pic:nvPicPr>
                        <pic:blipFill>
                          <a:blip r:embed="rId14">
                            <a:extLst>
                              <a:ext uri="{28A0092B-C50C-407E-A947-70E740481C1C}">
                                <a14:useLocalDpi xmlns:a14="http://schemas.microsoft.com/office/drawing/2010/main" val="0"/>
                              </a:ext>
                            </a:extLst>
                          </a:blip>
                          <a:stretch>
                            <a:fillRect/>
                          </a:stretch>
                        </pic:blipFill>
                        <pic:spPr>
                          <a:xfrm>
                            <a:off x="0" y="0"/>
                            <a:ext cx="2016000" cy="630000"/>
                          </a:xfrm>
                          <a:prstGeom prst="rect">
                            <a:avLst/>
                          </a:prstGeom>
                        </pic:spPr>
                      </pic:pic>
                    </a:graphicData>
                  </a:graphic>
                </wp:inline>
              </w:drawing>
            </w:r>
          </w:p>
        </w:tc>
      </w:tr>
    </w:tbl>
    <w:p w:rsidR="00A56CAA" w:rsidRPr="00411DB9" w:rsidRDefault="00A56CAA" w:rsidP="00A56CA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56CAA" w:rsidRPr="001C104E" w:rsidTr="006C0391">
        <w:trPr>
          <w:trHeight w:val="7890"/>
          <w:jc w:val="center"/>
        </w:trPr>
        <w:tc>
          <w:tcPr>
            <w:tcW w:w="1985" w:type="dxa"/>
            <w:shd w:val="clear" w:color="auto" w:fill="FFFFFF"/>
            <w:vAlign w:val="center"/>
          </w:tcPr>
          <w:p w:rsidR="00A56CAA" w:rsidRPr="001C104E" w:rsidRDefault="00A56CAA" w:rsidP="006C0391">
            <w:pPr>
              <w:spacing w:line="276" w:lineRule="auto"/>
              <w:jc w:val="center"/>
              <w:rPr>
                <w:rFonts w:ascii="Arial" w:hAnsi="Arial" w:cs="Arial"/>
                <w:sz w:val="24"/>
                <w:szCs w:val="24"/>
              </w:rPr>
            </w:pPr>
            <w:r w:rsidRPr="001C104E">
              <w:rPr>
                <w:rFonts w:ascii="Arial" w:hAnsi="Arial" w:cs="Arial"/>
                <w:noProof/>
                <w:sz w:val="24"/>
                <w:szCs w:val="24"/>
              </w:rPr>
              <w:drawing>
                <wp:inline distT="0" distB="0" distL="0" distR="0" wp14:anchorId="7EEF7A40" wp14:editId="4431F25E">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 xml:space="preserve">Mr. Ian Mann a barrister by training, Ian Mann is a leading offshore litigator, senior tactician and thought leader.  He is the long term head of </w:t>
            </w:r>
            <w:proofErr w:type="spellStart"/>
            <w:r w:rsidRPr="001C104E">
              <w:rPr>
                <w:rFonts w:ascii="Arial" w:hAnsi="Arial" w:cs="Arial"/>
                <w:color w:val="6C6361"/>
              </w:rPr>
              <w:t>Harneys</w:t>
            </w:r>
            <w:proofErr w:type="spellEnd"/>
            <w:r w:rsidRPr="001C104E">
              <w:rPr>
                <w:rFonts w:ascii="Arial" w:hAnsi="Arial" w:cs="Arial"/>
                <w:color w:val="6C6361"/>
              </w:rPr>
              <w:t>' Offshore Litigation and Restructuring Department in Hong Kong.</w:t>
            </w:r>
          </w:p>
          <w:p w:rsidR="00A56CAA" w:rsidRPr="001C104E" w:rsidRDefault="00A56CAA" w:rsidP="00A56CAA">
            <w:pPr>
              <w:pStyle w:val="NormalWeb"/>
              <w:spacing w:before="0" w:beforeAutospacing="0" w:after="0" w:afterAutospacing="0"/>
              <w:jc w:val="both"/>
              <w:rPr>
                <w:rFonts w:ascii="Arial" w:hAnsi="Arial" w:cs="Arial"/>
                <w:color w:val="6C6361"/>
              </w:rPr>
            </w:pPr>
          </w:p>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 xml:space="preserve">Ian lectures regularly to judicial, professional and academic bodies.  He is the author of both of the leading offshore textbooks on British Virgin Islands Commercial Law and Bermuda Commercial Law (Sweet &amp; Maxwell Thomson Reuters), and is a contributor to The Offshore Litigation Blog, a </w:t>
            </w:r>
            <w:proofErr w:type="spellStart"/>
            <w:r w:rsidRPr="001C104E">
              <w:rPr>
                <w:rFonts w:ascii="Arial" w:hAnsi="Arial" w:cs="Arial"/>
                <w:color w:val="6C6361"/>
              </w:rPr>
              <w:t>Harneys</w:t>
            </w:r>
            <w:proofErr w:type="spellEnd"/>
            <w:r w:rsidRPr="001C104E">
              <w:rPr>
                <w:rFonts w:ascii="Arial" w:hAnsi="Arial" w:cs="Arial"/>
                <w:color w:val="6C6361"/>
              </w:rPr>
              <w:t xml:space="preserve"> blog that shares news and views about litigation, dispute resolution, restructuring and insolvency offshore.  He is a Fellow of INSOL International as well as a qualified Trusts and Estates Practitioner (TEP).  He is regularly asked to provide his expert opinion on offshore law to various Courts of Law.</w:t>
            </w:r>
          </w:p>
          <w:p w:rsidR="00A56CAA" w:rsidRPr="001C104E" w:rsidRDefault="00A56CAA" w:rsidP="00A56CAA">
            <w:pPr>
              <w:pStyle w:val="NormalWeb"/>
              <w:spacing w:before="0" w:beforeAutospacing="0" w:after="0" w:afterAutospacing="0"/>
              <w:jc w:val="both"/>
              <w:rPr>
                <w:rFonts w:ascii="Arial" w:hAnsi="Arial" w:cs="Arial"/>
                <w:color w:val="6C6361"/>
              </w:rPr>
            </w:pPr>
          </w:p>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 xml:space="preserve">Ian </w:t>
            </w:r>
            <w:proofErr w:type="spellStart"/>
            <w:r w:rsidRPr="001C104E">
              <w:rPr>
                <w:rFonts w:ascii="Arial" w:hAnsi="Arial" w:cs="Arial"/>
                <w:color w:val="6C6361"/>
              </w:rPr>
              <w:t>specialises</w:t>
            </w:r>
            <w:proofErr w:type="spellEnd"/>
            <w:r w:rsidRPr="001C104E">
              <w:rPr>
                <w:rFonts w:ascii="Arial" w:hAnsi="Arial" w:cs="Arial"/>
                <w:color w:val="6C6361"/>
              </w:rPr>
              <w:t xml:space="preserve"> in restructuring, insolvency, shareholders' disputes and contentious trusts.  He is an experienced advocate and continues to appear in Court regularly.  He has been involved in every major recent restructuring in the region involving offshore entities and is a specialist in cross border and conflict of laws dilemmas.  He was appointed as BVI Counsel to the Estate of Nina Wang and has been involved in some of Asia’s highest value contentious Estate litigation.  He regularly appears on behalf of elite families and is usually retained on a long term basis for strategic global offshore litigation advice.</w:t>
            </w:r>
          </w:p>
          <w:p w:rsidR="00A56CAA" w:rsidRPr="001C104E" w:rsidRDefault="00A56CAA" w:rsidP="00A56CAA">
            <w:pPr>
              <w:pStyle w:val="NormalWeb"/>
              <w:spacing w:before="0" w:beforeAutospacing="0" w:after="0" w:afterAutospacing="0"/>
              <w:jc w:val="both"/>
              <w:rPr>
                <w:rFonts w:ascii="Arial" w:hAnsi="Arial" w:cs="Arial"/>
                <w:color w:val="6C6361"/>
              </w:rPr>
            </w:pPr>
          </w:p>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 xml:space="preserve">Ian is ranked as a leading offshore lawyer by Chambers and Legal 500 and is </w:t>
            </w:r>
            <w:proofErr w:type="spellStart"/>
            <w:r w:rsidRPr="001C104E">
              <w:rPr>
                <w:rFonts w:ascii="Arial" w:hAnsi="Arial" w:cs="Arial"/>
                <w:color w:val="6C6361"/>
              </w:rPr>
              <w:t>recognised</w:t>
            </w:r>
            <w:proofErr w:type="spellEnd"/>
            <w:r w:rsidRPr="001C104E">
              <w:rPr>
                <w:rFonts w:ascii="Arial" w:hAnsi="Arial" w:cs="Arial"/>
                <w:color w:val="6C6361"/>
              </w:rPr>
              <w:t xml:space="preserve"> as being amongst the world’s leading asset recovery, restructuring &amp; insolvency and private client lawyers by Who’s Who Legal 2016.  He is also one of ten offshore lawyers </w:t>
            </w:r>
            <w:proofErr w:type="spellStart"/>
            <w:r w:rsidRPr="001C104E">
              <w:rPr>
                <w:rFonts w:ascii="Arial" w:hAnsi="Arial" w:cs="Arial"/>
                <w:color w:val="6C6361"/>
              </w:rPr>
              <w:t>recognised</w:t>
            </w:r>
            <w:proofErr w:type="spellEnd"/>
            <w:r w:rsidRPr="001C104E">
              <w:rPr>
                <w:rFonts w:ascii="Arial" w:hAnsi="Arial" w:cs="Arial"/>
                <w:color w:val="6C6361"/>
              </w:rPr>
              <w:t xml:space="preserve"> for client service in Asia by Asian Legal Business for 2017.</w:t>
            </w:r>
          </w:p>
        </w:tc>
      </w:tr>
    </w:tbl>
    <w:p w:rsidR="00A56CAA" w:rsidRDefault="00A56CAA" w:rsidP="00A56CAA">
      <w:pPr>
        <w:spacing w:line="276" w:lineRule="auto"/>
        <w:jc w:val="left"/>
        <w:rPr>
          <w:rFonts w:ascii="Arial" w:hAnsi="Arial" w:cs="Arial"/>
          <w:sz w:val="20"/>
          <w:szCs w:val="20"/>
        </w:rPr>
      </w:pPr>
    </w:p>
    <w:p w:rsidR="00A56CAA" w:rsidRDefault="00A56CAA" w:rsidP="00A56CAA">
      <w:pPr>
        <w:spacing w:line="276" w:lineRule="auto"/>
        <w:jc w:val="left"/>
        <w:rPr>
          <w:rFonts w:ascii="Arial" w:hAnsi="Arial" w:cs="Arial"/>
          <w:sz w:val="20"/>
          <w:szCs w:val="20"/>
        </w:rPr>
      </w:pPr>
    </w:p>
    <w:p w:rsidR="00A56CAA" w:rsidRPr="00411DB9" w:rsidRDefault="00A56CAA" w:rsidP="00A56CA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56CAA" w:rsidRPr="001C104E" w:rsidTr="006C0391">
        <w:trPr>
          <w:trHeight w:val="7371"/>
          <w:jc w:val="center"/>
        </w:trPr>
        <w:tc>
          <w:tcPr>
            <w:tcW w:w="1985" w:type="dxa"/>
            <w:shd w:val="clear" w:color="auto" w:fill="FFFFFF"/>
            <w:vAlign w:val="center"/>
          </w:tcPr>
          <w:p w:rsidR="00A56CAA" w:rsidRPr="001C104E" w:rsidRDefault="00A56CAA" w:rsidP="006C0391">
            <w:pPr>
              <w:spacing w:line="276" w:lineRule="auto"/>
              <w:jc w:val="center"/>
              <w:rPr>
                <w:rFonts w:ascii="Arial" w:hAnsi="Arial" w:cs="Arial"/>
                <w:sz w:val="24"/>
                <w:szCs w:val="24"/>
              </w:rPr>
            </w:pPr>
            <w:r w:rsidRPr="001C104E">
              <w:rPr>
                <w:rFonts w:ascii="Arial" w:hAnsi="Arial" w:cs="Arial"/>
                <w:noProof/>
                <w:sz w:val="24"/>
                <w:szCs w:val="24"/>
              </w:rPr>
              <w:lastRenderedPageBreak/>
              <w:drawing>
                <wp:inline distT="0" distB="0" distL="0" distR="0" wp14:anchorId="4B2BE992" wp14:editId="6EAC75AE">
                  <wp:extent cx="1080135" cy="1440180"/>
                  <wp:effectExtent l="0" t="0" r="5715" b="7620"/>
                  <wp:docPr id="10"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 xml:space="preserve">Vicky Lord is a partner in </w:t>
            </w:r>
            <w:proofErr w:type="spellStart"/>
            <w:r w:rsidRPr="001C104E">
              <w:rPr>
                <w:rFonts w:ascii="Arial" w:hAnsi="Arial" w:cs="Arial"/>
                <w:color w:val="6C6361"/>
              </w:rPr>
              <w:t>Harneys</w:t>
            </w:r>
            <w:proofErr w:type="spellEnd"/>
            <w:r w:rsidRPr="001C104E">
              <w:rPr>
                <w:rFonts w:ascii="Arial" w:hAnsi="Arial" w:cs="Arial"/>
                <w:color w:val="6C6361"/>
              </w:rPr>
              <w:t>' Litigation, Restructuring and Insolvency group in Hong Kong.  Her practice focuses on serving the needs of both professional and lay clients in relation to BVI and Cayman Islands law.</w:t>
            </w:r>
          </w:p>
          <w:p w:rsidR="00A56CAA" w:rsidRPr="001C104E" w:rsidRDefault="00A56CAA" w:rsidP="00A56CAA">
            <w:pPr>
              <w:pStyle w:val="NormalWeb"/>
              <w:spacing w:before="0" w:beforeAutospacing="0" w:after="0" w:afterAutospacing="0"/>
              <w:jc w:val="both"/>
              <w:rPr>
                <w:rFonts w:ascii="Arial" w:hAnsi="Arial" w:cs="Arial"/>
                <w:color w:val="6C6361"/>
              </w:rPr>
            </w:pPr>
          </w:p>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Vicky has a wide breadth of experience in cross-border jurisdictional commercial matters, from insolvency to shareholder disputes, both led and acting alone, in the BVI Commercial Court and Court of Appeal and has also appeared in the Privy Council in London.  She has particular expertise in high-value, high-profile commercial offshore disputes with cross-border elements, where she has acted for clients with considerable success.  She counts some of the world’s best known financial institutions, blue-chip companies and ultra-high net worth individuals amongst her client base.</w:t>
            </w:r>
          </w:p>
          <w:p w:rsidR="00A56CAA" w:rsidRPr="001C104E" w:rsidRDefault="00A56CAA" w:rsidP="00A56CAA">
            <w:pPr>
              <w:pStyle w:val="NormalWeb"/>
              <w:spacing w:before="0" w:beforeAutospacing="0" w:after="0" w:afterAutospacing="0"/>
              <w:jc w:val="both"/>
              <w:rPr>
                <w:rFonts w:ascii="Arial" w:hAnsi="Arial" w:cs="Arial"/>
                <w:color w:val="6C6361"/>
              </w:rPr>
            </w:pPr>
          </w:p>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 xml:space="preserve">Prior to joining us as a senior associate in 2014, Vicky </w:t>
            </w:r>
            <w:proofErr w:type="spellStart"/>
            <w:r w:rsidRPr="001C104E">
              <w:rPr>
                <w:rFonts w:ascii="Arial" w:hAnsi="Arial" w:cs="Arial"/>
                <w:color w:val="6C6361"/>
              </w:rPr>
              <w:t>practised</w:t>
            </w:r>
            <w:proofErr w:type="spellEnd"/>
            <w:r w:rsidRPr="001C104E">
              <w:rPr>
                <w:rFonts w:ascii="Arial" w:hAnsi="Arial" w:cs="Arial"/>
                <w:color w:val="6C6361"/>
              </w:rPr>
              <w:t xml:space="preserve"> as a litigation barrister in the BVI with another leading offshore firm.  Before working offshore, Vicky was in-house counsel with Kingsley </w:t>
            </w:r>
            <w:proofErr w:type="spellStart"/>
            <w:r w:rsidRPr="001C104E">
              <w:rPr>
                <w:rFonts w:ascii="Arial" w:hAnsi="Arial" w:cs="Arial"/>
                <w:color w:val="6C6361"/>
              </w:rPr>
              <w:t>Napley</w:t>
            </w:r>
            <w:proofErr w:type="spellEnd"/>
            <w:r w:rsidRPr="001C104E">
              <w:rPr>
                <w:rFonts w:ascii="Arial" w:hAnsi="Arial" w:cs="Arial"/>
                <w:color w:val="6C6361"/>
              </w:rPr>
              <w:t xml:space="preserve"> LLP.  She has both led and acted alone in the Commercial Court and Court of Appeal of the Eastern Caribbean Supreme Court and has also appeared in the Privy Council.  Vicky has particular expertise in high value contentious trusts and probate litigation, where she has acted for trustees, beneficiaries and third parties with considerable success.</w:t>
            </w:r>
          </w:p>
          <w:p w:rsidR="00A56CAA" w:rsidRPr="001C104E" w:rsidRDefault="00A56CAA" w:rsidP="00A56CAA">
            <w:pPr>
              <w:pStyle w:val="NormalWeb"/>
              <w:spacing w:before="0" w:beforeAutospacing="0" w:after="0" w:afterAutospacing="0"/>
              <w:jc w:val="both"/>
              <w:rPr>
                <w:rFonts w:ascii="Arial" w:hAnsi="Arial" w:cs="Arial"/>
                <w:color w:val="6C6361"/>
              </w:rPr>
            </w:pPr>
          </w:p>
          <w:p w:rsidR="00A56CAA" w:rsidRPr="001C104E" w:rsidRDefault="00A56CAA" w:rsidP="00A56CAA">
            <w:pPr>
              <w:pStyle w:val="NormalWeb"/>
              <w:spacing w:before="0" w:beforeAutospacing="0" w:after="0" w:afterAutospacing="0"/>
              <w:jc w:val="both"/>
              <w:rPr>
                <w:rFonts w:ascii="Arial" w:hAnsi="Arial" w:cs="Arial"/>
                <w:color w:val="6C6361"/>
              </w:rPr>
            </w:pPr>
            <w:r w:rsidRPr="001C104E">
              <w:rPr>
                <w:rFonts w:ascii="Arial" w:hAnsi="Arial" w:cs="Arial"/>
                <w:color w:val="6C6361"/>
              </w:rPr>
              <w:t>Vicky is a past winner of the Client Choice Award (2014) for the BVI for offshore services and is a member of the Chancery Bar Association.  She is fluent in both English and Spanish.</w:t>
            </w:r>
          </w:p>
        </w:tc>
      </w:tr>
    </w:tbl>
    <w:p w:rsidR="00A56CAA" w:rsidRPr="00411DB9" w:rsidRDefault="00A56CAA" w:rsidP="00A56CAA">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A56CAA" w:rsidRPr="00CE2048" w:rsidTr="006C0391">
        <w:trPr>
          <w:trHeight w:val="397"/>
          <w:jc w:val="center"/>
        </w:trPr>
        <w:tc>
          <w:tcPr>
            <w:tcW w:w="10773" w:type="dxa"/>
            <w:gridSpan w:val="2"/>
            <w:tcBorders>
              <w:top w:val="nil"/>
              <w:bottom w:val="nil"/>
            </w:tcBorders>
            <w:shd w:val="clear" w:color="auto" w:fill="F0EBE1"/>
            <w:vAlign w:val="center"/>
          </w:tcPr>
          <w:p w:rsidR="00A56CAA" w:rsidRPr="00CE2048" w:rsidRDefault="00A56CAA" w:rsidP="006C0391">
            <w:pPr>
              <w:spacing w:line="276" w:lineRule="auto"/>
              <w:rPr>
                <w:rFonts w:ascii="Arial" w:hAnsi="Arial" w:cs="Arial"/>
                <w:b/>
                <w:color w:val="524B48"/>
                <w:sz w:val="24"/>
                <w:szCs w:val="24"/>
              </w:rPr>
            </w:pPr>
            <w:r w:rsidRPr="001C104E">
              <w:rPr>
                <w:rFonts w:ascii="Arial" w:hAnsi="Arial" w:cs="Arial"/>
                <w:b/>
                <w:color w:val="524B48"/>
                <w:sz w:val="24"/>
                <w:szCs w:val="24"/>
              </w:rPr>
              <w:t>This course will cover the followings:</w:t>
            </w:r>
          </w:p>
        </w:tc>
      </w:tr>
      <w:tr w:rsidR="00A56CAA" w:rsidRPr="00CE2048" w:rsidTr="006C0391">
        <w:trPr>
          <w:trHeight w:val="2326"/>
          <w:jc w:val="center"/>
        </w:trPr>
        <w:tc>
          <w:tcPr>
            <w:tcW w:w="8931" w:type="dxa"/>
            <w:tcBorders>
              <w:top w:val="nil"/>
              <w:bottom w:val="nil"/>
              <w:right w:val="nil"/>
            </w:tcBorders>
            <w:shd w:val="clear" w:color="auto" w:fill="FFFFFF" w:themeFill="background1"/>
            <w:vAlign w:val="center"/>
          </w:tcPr>
          <w:p w:rsidR="00A56CAA" w:rsidRPr="001C104E" w:rsidRDefault="00A56CAA" w:rsidP="006C0391">
            <w:pPr>
              <w:pStyle w:val="ListParagraph"/>
              <w:numPr>
                <w:ilvl w:val="0"/>
                <w:numId w:val="1"/>
              </w:numPr>
              <w:spacing w:line="276" w:lineRule="auto"/>
              <w:rPr>
                <w:rFonts w:ascii="Arial" w:hAnsi="Arial" w:cs="Arial"/>
                <w:color w:val="6C6361"/>
                <w:sz w:val="24"/>
                <w:szCs w:val="24"/>
              </w:rPr>
            </w:pPr>
            <w:r w:rsidRPr="001C104E">
              <w:rPr>
                <w:rFonts w:ascii="Arial" w:hAnsi="Arial" w:cs="Arial"/>
                <w:color w:val="6C6361"/>
                <w:sz w:val="24"/>
                <w:szCs w:val="24"/>
              </w:rPr>
              <w:t>Mainland Chinese and HK shareholder disputes in BVI, Cayman Islands and Bermuda - latest cases</w:t>
            </w:r>
          </w:p>
          <w:p w:rsidR="00A56CAA" w:rsidRPr="001C104E" w:rsidRDefault="00A56CAA" w:rsidP="006C0391">
            <w:pPr>
              <w:pStyle w:val="ListParagraph"/>
              <w:numPr>
                <w:ilvl w:val="0"/>
                <w:numId w:val="1"/>
              </w:numPr>
              <w:spacing w:line="276" w:lineRule="auto"/>
              <w:rPr>
                <w:rFonts w:ascii="Arial" w:hAnsi="Arial" w:cs="Arial"/>
                <w:color w:val="6C6361"/>
                <w:sz w:val="24"/>
                <w:szCs w:val="24"/>
              </w:rPr>
            </w:pPr>
            <w:r w:rsidRPr="001C104E">
              <w:rPr>
                <w:rFonts w:ascii="Arial" w:hAnsi="Arial" w:cs="Arial"/>
                <w:color w:val="6C6361"/>
                <w:sz w:val="24"/>
                <w:szCs w:val="24"/>
              </w:rPr>
              <w:t>Co-operation between the HK and Offshore Courts</w:t>
            </w:r>
          </w:p>
          <w:p w:rsidR="00A56CAA" w:rsidRPr="001C104E" w:rsidRDefault="00A56CAA" w:rsidP="006C0391">
            <w:pPr>
              <w:pStyle w:val="ListParagraph"/>
              <w:numPr>
                <w:ilvl w:val="0"/>
                <w:numId w:val="1"/>
              </w:numPr>
              <w:spacing w:line="276" w:lineRule="auto"/>
              <w:rPr>
                <w:rFonts w:ascii="Arial" w:hAnsi="Arial" w:cs="Arial"/>
                <w:color w:val="6C6361"/>
                <w:sz w:val="24"/>
                <w:szCs w:val="24"/>
              </w:rPr>
            </w:pPr>
            <w:r w:rsidRPr="001C104E">
              <w:rPr>
                <w:rFonts w:ascii="Arial" w:hAnsi="Arial" w:cs="Arial"/>
                <w:color w:val="6C6361"/>
                <w:sz w:val="24"/>
                <w:szCs w:val="24"/>
              </w:rPr>
              <w:t>Injunctions in support of shareholder disputes including contentious EGM, hostile take overs, US style shareholder activism</w:t>
            </w:r>
          </w:p>
          <w:p w:rsidR="00A56CAA" w:rsidRPr="00CE2048" w:rsidRDefault="00A56CAA" w:rsidP="006C0391">
            <w:pPr>
              <w:pStyle w:val="ListParagraph"/>
              <w:numPr>
                <w:ilvl w:val="0"/>
                <w:numId w:val="1"/>
              </w:numPr>
              <w:spacing w:line="276" w:lineRule="auto"/>
              <w:rPr>
                <w:rFonts w:ascii="Arial" w:hAnsi="Arial" w:cs="Arial"/>
                <w:color w:val="6C6361"/>
                <w:sz w:val="24"/>
                <w:szCs w:val="24"/>
              </w:rPr>
            </w:pPr>
            <w:r w:rsidRPr="001C104E">
              <w:rPr>
                <w:rFonts w:ascii="Arial" w:hAnsi="Arial" w:cs="Arial"/>
                <w:color w:val="6C6361"/>
                <w:sz w:val="24"/>
                <w:szCs w:val="24"/>
              </w:rPr>
              <w:t xml:space="preserve">Listed company meetings in HK when the </w:t>
            </w:r>
            <w:proofErr w:type="spellStart"/>
            <w:r w:rsidRPr="001C104E">
              <w:rPr>
                <w:rFonts w:ascii="Arial" w:hAnsi="Arial" w:cs="Arial"/>
                <w:color w:val="6C6361"/>
                <w:sz w:val="24"/>
                <w:szCs w:val="24"/>
              </w:rPr>
              <w:t>listco</w:t>
            </w:r>
            <w:proofErr w:type="spellEnd"/>
            <w:r w:rsidRPr="001C104E">
              <w:rPr>
                <w:rFonts w:ascii="Arial" w:hAnsi="Arial" w:cs="Arial"/>
                <w:color w:val="6C6361"/>
                <w:sz w:val="24"/>
                <w:szCs w:val="24"/>
              </w:rPr>
              <w:t xml:space="preserve"> is an offshore company</w:t>
            </w:r>
          </w:p>
        </w:tc>
        <w:tc>
          <w:tcPr>
            <w:tcW w:w="1842" w:type="dxa"/>
            <w:tcBorders>
              <w:top w:val="nil"/>
              <w:left w:val="nil"/>
              <w:bottom w:val="nil"/>
            </w:tcBorders>
            <w:shd w:val="clear" w:color="auto" w:fill="FFFFFF" w:themeFill="background1"/>
            <w:vAlign w:val="center"/>
          </w:tcPr>
          <w:p w:rsidR="00A56CAA" w:rsidRDefault="00A56CAA" w:rsidP="006C0391">
            <w:pPr>
              <w:spacing w:line="276" w:lineRule="auto"/>
              <w:jc w:val="center"/>
              <w:rPr>
                <w:rFonts w:ascii="Arial" w:hAnsi="Arial" w:cs="Arial"/>
                <w:color w:val="6C6361"/>
                <w:sz w:val="24"/>
                <w:szCs w:val="24"/>
              </w:rPr>
            </w:pPr>
          </w:p>
          <w:p w:rsidR="00A56CAA" w:rsidRPr="001C104E" w:rsidRDefault="00A56CAA" w:rsidP="006C0391">
            <w:pPr>
              <w:spacing w:line="276" w:lineRule="auto"/>
              <w:jc w:val="center"/>
              <w:rPr>
                <w:rFonts w:ascii="Arial" w:hAnsi="Arial" w:cs="Arial"/>
                <w:color w:val="6C6361"/>
                <w:sz w:val="24"/>
                <w:szCs w:val="24"/>
              </w:rPr>
            </w:pPr>
            <w:r w:rsidRPr="00E50EF0">
              <w:rPr>
                <w:noProof/>
                <w:sz w:val="20"/>
              </w:rPr>
              <w:drawing>
                <wp:inline distT="0" distB="0" distL="0" distR="0" wp14:anchorId="692B86C6" wp14:editId="45DE4FCB">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EF6BBE" w:rsidRPr="00364F1C" w:rsidRDefault="00EF6BBE" w:rsidP="00EF6BBE">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A56CAA" w:rsidRPr="000762CF" w:rsidTr="00E6371A">
        <w:trPr>
          <w:trHeight w:val="397"/>
          <w:jc w:val="center"/>
        </w:trPr>
        <w:tc>
          <w:tcPr>
            <w:tcW w:w="1701" w:type="dxa"/>
            <w:tcBorders>
              <w:top w:val="nil"/>
              <w:left w:val="nil"/>
              <w:bottom w:val="single" w:sz="12" w:space="0" w:color="FFFFFF"/>
            </w:tcBorders>
            <w:shd w:val="clear" w:color="auto" w:fill="F0EBE1"/>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EVT000000248</w:t>
            </w:r>
          </w:p>
        </w:tc>
        <w:tc>
          <w:tcPr>
            <w:tcW w:w="1701" w:type="dxa"/>
            <w:tcBorders>
              <w:top w:val="nil"/>
              <w:bottom w:val="single" w:sz="12" w:space="0" w:color="FFFFFF"/>
            </w:tcBorders>
            <w:shd w:val="clear" w:color="auto" w:fill="F0EBE1"/>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A56CAA" w:rsidRPr="000762CF" w:rsidTr="00E6371A">
        <w:trPr>
          <w:trHeight w:val="397"/>
          <w:jc w:val="center"/>
        </w:trPr>
        <w:tc>
          <w:tcPr>
            <w:tcW w:w="1701" w:type="dxa"/>
            <w:tcBorders>
              <w:top w:val="single" w:sz="12" w:space="0" w:color="FFFFFF"/>
              <w:left w:val="nil"/>
              <w:bottom w:val="single" w:sz="12" w:space="0" w:color="FFFFFF"/>
            </w:tcBorders>
            <w:shd w:val="clear" w:color="auto" w:fill="F0EBE1"/>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1C104E">
              <w:rPr>
                <w:rFonts w:ascii="Arial" w:hAnsi="Arial" w:cs="Arial"/>
                <w:b/>
                <w:color w:val="6C6361"/>
                <w:sz w:val="20"/>
                <w:szCs w:val="20"/>
              </w:rPr>
              <w:t>5 September 2018 (Wednesday)</w:t>
            </w:r>
          </w:p>
        </w:tc>
        <w:tc>
          <w:tcPr>
            <w:tcW w:w="1701" w:type="dxa"/>
            <w:tcBorders>
              <w:top w:val="single" w:sz="12" w:space="0" w:color="FFFFFF"/>
              <w:bottom w:val="single" w:sz="12" w:space="0" w:color="FFFFFF"/>
            </w:tcBorders>
            <w:shd w:val="clear" w:color="auto" w:fill="F0EBE1"/>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A56CAA" w:rsidRPr="000762CF" w:rsidTr="00E6371A">
        <w:trPr>
          <w:trHeight w:val="397"/>
          <w:jc w:val="center"/>
        </w:trPr>
        <w:tc>
          <w:tcPr>
            <w:tcW w:w="1701" w:type="dxa"/>
            <w:tcBorders>
              <w:top w:val="single" w:sz="12" w:space="0" w:color="FFFFFF"/>
              <w:left w:val="nil"/>
              <w:bottom w:val="single" w:sz="12" w:space="0" w:color="FFFFFF"/>
            </w:tcBorders>
            <w:shd w:val="clear" w:color="auto" w:fill="F0EBE1"/>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A56CAA" w:rsidRPr="000762CF"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56CAA" w:rsidRPr="00A56CAA" w:rsidRDefault="00A56CAA" w:rsidP="00A56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tc>
      </w:tr>
      <w:tr w:rsidR="00EF6BBE" w:rsidRPr="000762CF" w:rsidTr="00E6371A">
        <w:trPr>
          <w:trHeight w:val="1247"/>
          <w:jc w:val="center"/>
        </w:trPr>
        <w:tc>
          <w:tcPr>
            <w:tcW w:w="1701" w:type="dxa"/>
            <w:tcBorders>
              <w:top w:val="single" w:sz="12" w:space="0" w:color="FFFFFF"/>
              <w:left w:val="nil"/>
              <w:bottom w:val="nil"/>
            </w:tcBorders>
            <w:shd w:val="clear" w:color="auto" w:fill="F0EBE1"/>
            <w:vAlign w:val="center"/>
          </w:tcPr>
          <w:p w:rsidR="00EF6BBE" w:rsidRPr="000762CF"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F6BBE" w:rsidRPr="000762CF" w:rsidRDefault="00EF6BBE" w:rsidP="00E6371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F6BBE" w:rsidRPr="000762CF"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F6BBE" w:rsidRPr="000762CF"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F6BBE" w:rsidRPr="000762CF"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F6BBE" w:rsidRPr="000762CF" w:rsidRDefault="00EF6BBE" w:rsidP="00E6371A">
            <w:pPr>
              <w:jc w:val="right"/>
              <w:rPr>
                <w:rFonts w:ascii="Arial" w:hAnsi="Arial" w:cs="Arial"/>
                <w:b/>
                <w:color w:val="6C6361"/>
                <w:sz w:val="20"/>
                <w:szCs w:val="20"/>
              </w:rPr>
            </w:pPr>
          </w:p>
          <w:p w:rsidR="00EF6BBE" w:rsidRPr="000762CF" w:rsidRDefault="00EF6BBE" w:rsidP="00E6371A">
            <w:pPr>
              <w:jc w:val="right"/>
              <w:rPr>
                <w:rFonts w:ascii="Arial" w:hAnsi="Arial" w:cs="Arial"/>
                <w:b/>
                <w:color w:val="6C6361"/>
                <w:sz w:val="20"/>
                <w:szCs w:val="20"/>
              </w:rPr>
            </w:pPr>
          </w:p>
          <w:p w:rsidR="00EF6BBE" w:rsidRPr="000762CF" w:rsidRDefault="00EF6BBE" w:rsidP="00E6371A">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4C98AE4D" wp14:editId="18638E33">
                  <wp:extent cx="360000" cy="36000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F6BBE" w:rsidRPr="000762CF" w:rsidRDefault="00EF6BBE" w:rsidP="00E6371A">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F6BBE" w:rsidRPr="003A2A41"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F6BBE" w:rsidRPr="003A2A41"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EF6BBE" w:rsidRPr="003A2A41"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20" w:history="1">
              <w:r w:rsidRPr="003A2A41">
                <w:rPr>
                  <w:rStyle w:val="Hyperlink"/>
                  <w:rFonts w:ascii="Arial" w:eastAsia="Times New Roman" w:hAnsi="Arial" w:cs="Arial"/>
                  <w:b/>
                  <w:noProof/>
                  <w:color w:val="6C6361"/>
                  <w:sz w:val="20"/>
                  <w:szCs w:val="20"/>
                  <w:u w:val="none"/>
                </w:rPr>
                <w:t>Contact Us</w:t>
              </w:r>
            </w:hyperlink>
          </w:p>
          <w:p w:rsidR="00EF6BBE" w:rsidRPr="003A2A41"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EF6BBE" w:rsidRPr="00156567" w:rsidRDefault="00EF6BBE" w:rsidP="00E6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E530648" wp14:editId="1224C42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F6BBE" w:rsidRDefault="00214BC6" w:rsidP="00EF6BBE">
      <w:pPr>
        <w:rPr>
          <w:sz w:val="2"/>
          <w:szCs w:val="2"/>
        </w:rPr>
      </w:pPr>
    </w:p>
    <w:sectPr w:rsidR="00214BC6" w:rsidRPr="00EF6BBE" w:rsidSect="000F34E0">
      <w:headerReference w:type="default" r:id="rId22"/>
      <w:footerReference w:type="default" r:id="rId2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FF6" w:rsidRDefault="00C30FF6" w:rsidP="00546556">
      <w:r>
        <w:separator/>
      </w:r>
    </w:p>
  </w:endnote>
  <w:endnote w:type="continuationSeparator" w:id="0">
    <w:p w:rsidR="00C30FF6" w:rsidRDefault="00C30FF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FF6" w:rsidRDefault="00C30FF6" w:rsidP="00546556">
      <w:r>
        <w:separator/>
      </w:r>
    </w:p>
  </w:footnote>
  <w:footnote w:type="continuationSeparator" w:id="0">
    <w:p w:rsidR="00C30FF6" w:rsidRDefault="00C30FF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7BB2F1E"/>
    <w:multiLevelType w:val="hybridMultilevel"/>
    <w:tmpl w:val="BF6C17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2"/>
  </w:num>
  <w:num w:numId="11">
    <w:abstractNumId w:val="0"/>
  </w:num>
  <w:num w:numId="12">
    <w:abstractNumId w:val="9"/>
  </w:num>
  <w:num w:numId="13">
    <w:abstractNumId w:val="13"/>
  </w:num>
  <w:num w:numId="14">
    <w:abstractNumId w:val="8"/>
  </w:num>
  <w:num w:numId="15">
    <w:abstractNumId w:val="11"/>
  </w:num>
  <w:num w:numId="16">
    <w:abstractNumId w:val="1"/>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GFYA8EvlRVDDwpjiWHKUWmQ0hbIR4UIijAZdruU/rb39/+2/FAspw/X8tbOcmEDxPoFEQj/7rr9vuSMcNgJ3fg==" w:salt="8XBiYTnW0Pz9DLqibrpCH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3ED4"/>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CA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0FF6"/>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BBE"/>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D73"/>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009/" TargetMode="External"/><Relationship Id="rId13" Type="http://schemas.openxmlformats.org/officeDocument/2006/relationships/hyperlink" Target="http://www.harneys.com/" TargetMode="External"/><Relationship Id="rId18" Type="http://schemas.openxmlformats.org/officeDocument/2006/relationships/hyperlink" Target="http://goo.gl/maps/DKYQ1"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marketing@profec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cpd.hk/evt000000248/"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5131/" TargetMode="External"/><Relationship Id="rId14" Type="http://schemas.openxmlformats.org/officeDocument/2006/relationships/image" Target="media/image3.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C5E2E-8DA5-45F7-B997-DBA3A2429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CPD Course: Off-shore Litigation in Support of On-shore Proceedings</vt:lpstr>
    </vt:vector>
  </TitlesOfParts>
  <Manager>Tyrone Tsang</Manager>
  <Company>The Profectional Company Limited</Company>
  <LinksUpToDate>false</LinksUpToDate>
  <CharactersWithSpaces>4542</CharactersWithSpaces>
  <SharedDoc>false</SharedDoc>
  <HyperlinkBase>http://download.profectional.com/events/EVT000000248.docx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Offshore Shareholder Disputes and the Interplay Between the Offshore and Hong Kong Courts</dc:title>
  <dc:subject>CPD Course: Offshore Shareholder Disputes and the Interplay Between the Offshore and Hong Kong Courts</dc:subject>
  <dc:creator>The Profectional Company Limited</dc:creator>
  <cp:keywords>Profectional; Kornerstone; CPD; CPT; CLE; CE; RME; Ian Mann; Partner; Vicky Lord; Partner; Harney Westwood &amp; Riegels; Harneys</cp:keywords>
  <cp:lastModifiedBy>Tyrone Tsang</cp:lastModifiedBy>
  <cp:revision>17</cp:revision>
  <cp:lastPrinted>2017-05-03T10:15:00Z</cp:lastPrinted>
  <dcterms:created xsi:type="dcterms:W3CDTF">2017-01-12T02:41:00Z</dcterms:created>
  <dcterms:modified xsi:type="dcterms:W3CDTF">2018-09-05T03:26:00Z</dcterms:modified>
</cp:coreProperties>
</file>