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77B" w:rsidRPr="0051577B" w:rsidRDefault="0051577B" w:rsidP="0051577B">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51577B" w:rsidRPr="00523A64" w:rsidTr="008971B8">
        <w:trPr>
          <w:trHeight w:val="3119"/>
          <w:jc w:val="center"/>
        </w:trPr>
        <w:tc>
          <w:tcPr>
            <w:tcW w:w="4820" w:type="dxa"/>
            <w:shd w:val="clear" w:color="auto" w:fill="FFFFFF"/>
            <w:vAlign w:val="center"/>
          </w:tcPr>
          <w:p w:rsidR="0051577B" w:rsidRPr="001A3018" w:rsidRDefault="0051577B" w:rsidP="008971B8">
            <w:pPr>
              <w:jc w:val="center"/>
              <w:rPr>
                <w:rFonts w:ascii="Arial" w:hAnsi="Arial" w:cs="Arial"/>
                <w:b/>
                <w:bCs/>
                <w:color w:val="524B48"/>
                <w:sz w:val="4"/>
                <w:szCs w:val="4"/>
              </w:rPr>
            </w:pPr>
          </w:p>
          <w:p w:rsidR="0051577B" w:rsidRPr="00012F69" w:rsidRDefault="0051577B" w:rsidP="008971B8">
            <w:pPr>
              <w:jc w:val="center"/>
              <w:rPr>
                <w:rStyle w:val="Hyperlink"/>
                <w:rFonts w:ascii="Arial" w:hAnsi="Arial" w:cs="Arial"/>
                <w:b/>
                <w:bCs/>
                <w:color w:val="524B48"/>
                <w:sz w:val="32"/>
                <w:szCs w:val="32"/>
                <w:u w:val="none"/>
              </w:rPr>
            </w:pPr>
            <w:r w:rsidRPr="00CF685C">
              <w:fldChar w:fldCharType="begin"/>
            </w:r>
            <w:r>
              <w:instrText>HYPERLINK "http://cpd.hk/evt000000256/"</w:instrText>
            </w:r>
            <w:r w:rsidRPr="00CF685C">
              <w:fldChar w:fldCharType="separate"/>
            </w:r>
            <w:r w:rsidRPr="00012F69">
              <w:rPr>
                <w:rStyle w:val="Hyperlink"/>
                <w:rFonts w:ascii="Arial" w:hAnsi="Arial" w:cs="Arial"/>
                <w:b/>
                <w:bCs/>
                <w:color w:val="524B48"/>
                <w:sz w:val="32"/>
                <w:szCs w:val="32"/>
                <w:u w:val="none"/>
              </w:rPr>
              <w:t>The Changing</w:t>
            </w:r>
          </w:p>
          <w:p w:rsidR="0051577B" w:rsidRPr="00012F69" w:rsidRDefault="0051577B" w:rsidP="008971B8">
            <w:pPr>
              <w:jc w:val="center"/>
              <w:rPr>
                <w:rStyle w:val="Hyperlink"/>
                <w:rFonts w:ascii="Arial" w:hAnsi="Arial" w:cs="Arial"/>
                <w:b/>
                <w:bCs/>
                <w:color w:val="524B48"/>
                <w:sz w:val="32"/>
                <w:szCs w:val="32"/>
                <w:u w:val="none"/>
              </w:rPr>
            </w:pPr>
            <w:r w:rsidRPr="00012F69">
              <w:rPr>
                <w:rStyle w:val="Hyperlink"/>
                <w:rFonts w:ascii="Arial" w:hAnsi="Arial" w:cs="Arial"/>
                <w:b/>
                <w:bCs/>
                <w:color w:val="524B48"/>
                <w:sz w:val="32"/>
                <w:szCs w:val="32"/>
                <w:u w:val="none"/>
              </w:rPr>
              <w:t>Global Landscape</w:t>
            </w:r>
          </w:p>
          <w:p w:rsidR="0051577B" w:rsidRPr="00012F69" w:rsidRDefault="0051577B" w:rsidP="008971B8">
            <w:pPr>
              <w:jc w:val="center"/>
              <w:rPr>
                <w:rStyle w:val="Hyperlink"/>
                <w:rFonts w:ascii="Arial" w:hAnsi="Arial" w:cs="Arial"/>
                <w:b/>
                <w:bCs/>
                <w:color w:val="524B48"/>
                <w:sz w:val="32"/>
                <w:szCs w:val="32"/>
                <w:u w:val="none"/>
              </w:rPr>
            </w:pPr>
            <w:r w:rsidRPr="00012F69">
              <w:rPr>
                <w:rStyle w:val="Hyperlink"/>
                <w:rFonts w:ascii="Arial" w:hAnsi="Arial" w:cs="Arial"/>
                <w:b/>
                <w:bCs/>
                <w:color w:val="524B48"/>
                <w:sz w:val="32"/>
                <w:szCs w:val="32"/>
                <w:u w:val="none"/>
              </w:rPr>
              <w:t>of International Tax</w:t>
            </w:r>
          </w:p>
          <w:p w:rsidR="0051577B" w:rsidRPr="00012F69" w:rsidRDefault="0051577B" w:rsidP="008971B8">
            <w:pPr>
              <w:jc w:val="center"/>
              <w:rPr>
                <w:rStyle w:val="Hyperlink"/>
                <w:rFonts w:ascii="Arial" w:hAnsi="Arial" w:cs="Arial"/>
                <w:b/>
                <w:bCs/>
                <w:color w:val="524B48"/>
                <w:sz w:val="32"/>
                <w:szCs w:val="32"/>
                <w:u w:val="none"/>
              </w:rPr>
            </w:pPr>
            <w:r w:rsidRPr="00012F69">
              <w:rPr>
                <w:rStyle w:val="Hyperlink"/>
                <w:rFonts w:ascii="Arial" w:hAnsi="Arial" w:cs="Arial"/>
                <w:b/>
                <w:bCs/>
                <w:color w:val="524B48"/>
                <w:sz w:val="32"/>
                <w:szCs w:val="32"/>
                <w:u w:val="none"/>
              </w:rPr>
              <w:t>Co-operation:</w:t>
            </w:r>
          </w:p>
          <w:p w:rsidR="0051577B" w:rsidRPr="00012F69" w:rsidRDefault="0051577B" w:rsidP="008971B8">
            <w:pPr>
              <w:jc w:val="center"/>
              <w:rPr>
                <w:rStyle w:val="Hyperlink"/>
                <w:rFonts w:ascii="Arial" w:hAnsi="Arial" w:cs="Arial"/>
                <w:b/>
                <w:bCs/>
                <w:color w:val="524B48"/>
                <w:sz w:val="32"/>
                <w:szCs w:val="32"/>
                <w:u w:val="none"/>
              </w:rPr>
            </w:pPr>
            <w:r w:rsidRPr="00012F69">
              <w:rPr>
                <w:rStyle w:val="Hyperlink"/>
                <w:rFonts w:ascii="Arial" w:hAnsi="Arial" w:cs="Arial"/>
                <w:b/>
                <w:bCs/>
                <w:color w:val="524B48"/>
                <w:sz w:val="32"/>
                <w:szCs w:val="32"/>
                <w:u w:val="none"/>
              </w:rPr>
              <w:t>BEPS and</w:t>
            </w:r>
          </w:p>
          <w:p w:rsidR="0051577B" w:rsidRPr="00012F69" w:rsidRDefault="0051577B" w:rsidP="008971B8">
            <w:pPr>
              <w:jc w:val="center"/>
              <w:rPr>
                <w:rStyle w:val="Hyperlink"/>
                <w:rFonts w:ascii="Arial" w:hAnsi="Arial" w:cs="Arial"/>
                <w:b/>
                <w:bCs/>
                <w:color w:val="524B48"/>
                <w:sz w:val="32"/>
                <w:szCs w:val="32"/>
                <w:u w:val="none"/>
              </w:rPr>
            </w:pPr>
            <w:r w:rsidRPr="00012F69">
              <w:rPr>
                <w:rStyle w:val="Hyperlink"/>
                <w:rFonts w:ascii="Arial" w:hAnsi="Arial" w:cs="Arial"/>
                <w:b/>
                <w:bCs/>
                <w:color w:val="524B48"/>
                <w:sz w:val="32"/>
                <w:szCs w:val="32"/>
                <w:u w:val="none"/>
              </w:rPr>
              <w:t>the Trade/Investment</w:t>
            </w:r>
          </w:p>
          <w:p w:rsidR="0051577B" w:rsidRPr="00CF685C" w:rsidRDefault="0051577B" w:rsidP="008971B8">
            <w:pPr>
              <w:jc w:val="center"/>
              <w:rPr>
                <w:rStyle w:val="Hyperlink"/>
                <w:rFonts w:ascii="Arial" w:hAnsi="Arial" w:cs="Arial"/>
                <w:b/>
                <w:bCs/>
                <w:color w:val="524B48"/>
                <w:sz w:val="32"/>
                <w:szCs w:val="32"/>
                <w:u w:val="none"/>
              </w:rPr>
            </w:pPr>
            <w:r w:rsidRPr="00012F69">
              <w:rPr>
                <w:rStyle w:val="Hyperlink"/>
                <w:rFonts w:ascii="Arial" w:hAnsi="Arial" w:cs="Arial"/>
                <w:b/>
                <w:bCs/>
                <w:color w:val="524B48"/>
                <w:sz w:val="32"/>
                <w:szCs w:val="32"/>
                <w:u w:val="none"/>
              </w:rPr>
              <w:t>Challenges</w:t>
            </w:r>
          </w:p>
          <w:p w:rsidR="0051577B" w:rsidRPr="00C65AFD" w:rsidRDefault="0051577B" w:rsidP="008971B8">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51577B" w:rsidRPr="00C65AFD" w:rsidRDefault="0051577B" w:rsidP="008971B8">
            <w:pPr>
              <w:jc w:val="center"/>
              <w:rPr>
                <w:rFonts w:ascii="Arial" w:hAnsi="Arial" w:cs="Arial"/>
                <w:i/>
                <w:color w:val="6C6361"/>
                <w:sz w:val="24"/>
                <w:szCs w:val="24"/>
              </w:rPr>
            </w:pPr>
            <w:r w:rsidRPr="00C65AFD">
              <w:rPr>
                <w:rFonts w:ascii="Arial" w:hAnsi="Arial" w:cs="Arial"/>
                <w:i/>
                <w:color w:val="6C6361"/>
                <w:sz w:val="24"/>
                <w:szCs w:val="24"/>
              </w:rPr>
              <w:t>by</w:t>
            </w:r>
          </w:p>
          <w:p w:rsidR="0051577B" w:rsidRDefault="0051577B" w:rsidP="008971B8">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 xml:space="preserve">Prof. Julien </w:t>
              </w:r>
              <w:proofErr w:type="spellStart"/>
              <w:r>
                <w:rPr>
                  <w:rStyle w:val="Hyperlink"/>
                  <w:rFonts w:ascii="Arial" w:hAnsi="Arial" w:cs="Arial"/>
                  <w:color w:val="6C6361"/>
                  <w:sz w:val="24"/>
                  <w:szCs w:val="24"/>
                  <w:u w:val="none"/>
                </w:rPr>
                <w:t>Chaisse</w:t>
              </w:r>
              <w:proofErr w:type="spellEnd"/>
            </w:hyperlink>
            <w:r>
              <w:rPr>
                <w:rFonts w:ascii="Arial" w:hAnsi="Arial" w:cs="Arial"/>
                <w:color w:val="6C6361"/>
                <w:sz w:val="24"/>
                <w:szCs w:val="24"/>
              </w:rPr>
              <w:t>,</w:t>
            </w:r>
          </w:p>
          <w:p w:rsidR="0051577B" w:rsidRPr="0051550E" w:rsidRDefault="0051577B" w:rsidP="008971B8">
            <w:pPr>
              <w:jc w:val="center"/>
              <w:rPr>
                <w:rFonts w:ascii="Arial" w:hAnsi="Arial" w:cs="Arial"/>
                <w:color w:val="6C6361"/>
                <w:sz w:val="24"/>
                <w:szCs w:val="24"/>
              </w:rPr>
            </w:pPr>
            <w:r w:rsidRPr="0051550E">
              <w:rPr>
                <w:rFonts w:ascii="Arial" w:hAnsi="Arial" w:cs="Arial"/>
                <w:color w:val="6C6361"/>
                <w:sz w:val="24"/>
                <w:szCs w:val="24"/>
              </w:rPr>
              <w:t>Professor,</w:t>
            </w:r>
          </w:p>
          <w:p w:rsidR="0051577B" w:rsidRPr="00D87ECF" w:rsidRDefault="0051577B" w:rsidP="008971B8">
            <w:pPr>
              <w:jc w:val="center"/>
              <w:rPr>
                <w:rFonts w:ascii="Arial" w:hAnsi="Arial" w:cs="Arial"/>
                <w:color w:val="6C6361"/>
                <w:sz w:val="8"/>
                <w:szCs w:val="8"/>
              </w:rPr>
            </w:pPr>
            <w:r w:rsidRPr="0051550E">
              <w:rPr>
                <w:rFonts w:ascii="Arial" w:hAnsi="Arial" w:cs="Arial"/>
                <w:color w:val="6C6361"/>
                <w:sz w:val="24"/>
                <w:szCs w:val="24"/>
              </w:rPr>
              <w:t>The Chinese University of Hong Kong</w:t>
            </w:r>
          </w:p>
        </w:tc>
        <w:tc>
          <w:tcPr>
            <w:tcW w:w="5954" w:type="dxa"/>
            <w:shd w:val="clear" w:color="auto" w:fill="FFFFFF"/>
            <w:vAlign w:val="center"/>
          </w:tcPr>
          <w:p w:rsidR="0051577B" w:rsidRPr="00D50772" w:rsidRDefault="0051577B" w:rsidP="008971B8">
            <w:pPr>
              <w:spacing w:line="276" w:lineRule="auto"/>
              <w:jc w:val="center"/>
              <w:rPr>
                <w:rFonts w:ascii="Arial" w:eastAsia="Times New Roman" w:hAnsi="Arial" w:cs="Arial"/>
                <w:noProof/>
                <w:sz w:val="20"/>
                <w:szCs w:val="20"/>
              </w:rPr>
            </w:pPr>
            <w:r w:rsidRPr="004D0614">
              <w:rPr>
                <w:rFonts w:ascii="Arial" w:eastAsia="Times New Roman" w:hAnsi="Arial" w:cs="Arial"/>
                <w:noProof/>
                <w:sz w:val="20"/>
                <w:szCs w:val="20"/>
              </w:rPr>
              <w:drawing>
                <wp:anchor distT="0" distB="0" distL="114300" distR="114300" simplePos="0" relativeHeight="251659264" behindDoc="0" locked="0" layoutInCell="1" allowOverlap="1" wp14:anchorId="63EBB486" wp14:editId="64796F70">
                  <wp:simplePos x="0" y="0"/>
                  <wp:positionH relativeFrom="column">
                    <wp:posOffset>3175635</wp:posOffset>
                  </wp:positionH>
                  <wp:positionV relativeFrom="paragraph">
                    <wp:posOffset>-334010</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1B51812" wp14:editId="3B693219">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51577B" w:rsidRPr="00012F69" w:rsidRDefault="0051577B" w:rsidP="0051577B">
      <w:pPr>
        <w:spacing w:line="276" w:lineRule="auto"/>
        <w:jc w:val="left"/>
        <w:rPr>
          <w:rFonts w:ascii="Arial" w:hAnsi="Arial" w:cs="Arial"/>
          <w:sz w:val="14"/>
          <w:szCs w:val="20"/>
        </w:rPr>
      </w:pPr>
    </w:p>
    <w:tbl>
      <w:tblPr>
        <w:tblW w:w="10773" w:type="dxa"/>
        <w:jc w:val="center"/>
        <w:tblLook w:val="04A0" w:firstRow="1" w:lastRow="0" w:firstColumn="1" w:lastColumn="0" w:noHBand="0" w:noVBand="1"/>
      </w:tblPr>
      <w:tblGrid>
        <w:gridCol w:w="1985"/>
        <w:gridCol w:w="8788"/>
      </w:tblGrid>
      <w:tr w:rsidR="0051577B" w:rsidRPr="00114089" w:rsidTr="008971B8">
        <w:trPr>
          <w:trHeight w:val="9784"/>
          <w:jc w:val="center"/>
        </w:trPr>
        <w:tc>
          <w:tcPr>
            <w:tcW w:w="1985" w:type="dxa"/>
            <w:shd w:val="clear" w:color="auto" w:fill="FFFFFF"/>
            <w:vAlign w:val="center"/>
          </w:tcPr>
          <w:p w:rsidR="0051577B" w:rsidRPr="00114089" w:rsidRDefault="0051577B" w:rsidP="008971B8">
            <w:pPr>
              <w:spacing w:line="276" w:lineRule="auto"/>
              <w:jc w:val="center"/>
              <w:rPr>
                <w:rFonts w:ascii="Arial" w:hAnsi="Arial" w:cs="Arial"/>
                <w:sz w:val="24"/>
                <w:szCs w:val="24"/>
              </w:rPr>
            </w:pPr>
            <w:r w:rsidRPr="00114089">
              <w:rPr>
                <w:rFonts w:ascii="Arial" w:hAnsi="Arial" w:cs="Arial"/>
                <w:noProof/>
                <w:sz w:val="24"/>
                <w:szCs w:val="24"/>
              </w:rPr>
              <w:drawing>
                <wp:inline distT="0" distB="0" distL="0" distR="0" wp14:anchorId="4DB3AE77" wp14:editId="0138ECB7">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51577B" w:rsidRPr="00012F69" w:rsidRDefault="0051577B" w:rsidP="0051577B">
            <w:pPr>
              <w:pStyle w:val="NormalWeb"/>
              <w:spacing w:before="0" w:beforeAutospacing="0" w:after="0" w:afterAutospacing="0"/>
              <w:jc w:val="both"/>
              <w:rPr>
                <w:rFonts w:ascii="Arial" w:hAnsi="Arial" w:cs="Arial"/>
                <w:color w:val="6C6361"/>
                <w:sz w:val="23"/>
                <w:szCs w:val="23"/>
              </w:rPr>
            </w:pPr>
            <w:r w:rsidRPr="00012F69">
              <w:rPr>
                <w:rFonts w:ascii="Arial" w:hAnsi="Arial" w:cs="Arial"/>
                <w:color w:val="6C6361"/>
                <w:sz w:val="23"/>
                <w:szCs w:val="23"/>
              </w:rPr>
              <w:t xml:space="preserve">Julien </w:t>
            </w:r>
            <w:proofErr w:type="spellStart"/>
            <w:r w:rsidRPr="00012F69">
              <w:rPr>
                <w:rFonts w:ascii="Arial" w:hAnsi="Arial" w:cs="Arial"/>
                <w:color w:val="6C6361"/>
                <w:sz w:val="23"/>
                <w:szCs w:val="23"/>
              </w:rPr>
              <w:t>Chaisse</w:t>
            </w:r>
            <w:proofErr w:type="spellEnd"/>
            <w:r w:rsidRPr="00012F69">
              <w:rPr>
                <w:rFonts w:ascii="Arial" w:hAnsi="Arial" w:cs="Arial"/>
                <w:color w:val="6C6361"/>
                <w:sz w:val="23"/>
                <w:szCs w:val="23"/>
              </w:rPr>
              <w:t xml:space="preserve"> is Professor at The Chinese University of Hong Kong (CUHK), Faculty of Law.  He is an award-winning scholar of international law with a special focus on the regulation and development of economic globalization.  His teaching and research include international trade/investment law, international taxation, law of natural resources, and Internet law. Prior to joining CUHK in 2009, Dr. </w:t>
            </w:r>
            <w:proofErr w:type="spellStart"/>
            <w:r w:rsidRPr="00012F69">
              <w:rPr>
                <w:rFonts w:ascii="Arial" w:hAnsi="Arial" w:cs="Arial"/>
                <w:color w:val="6C6361"/>
                <w:sz w:val="23"/>
                <w:szCs w:val="23"/>
              </w:rPr>
              <w:t>Chaisse</w:t>
            </w:r>
            <w:proofErr w:type="spellEnd"/>
            <w:r w:rsidRPr="00012F69">
              <w:rPr>
                <w:rFonts w:ascii="Arial" w:hAnsi="Arial" w:cs="Arial"/>
                <w:color w:val="6C6361"/>
                <w:sz w:val="23"/>
                <w:szCs w:val="23"/>
              </w:rPr>
              <w:t xml:space="preserve"> was a senior research fellow at the World Trade Institute (Switzerland).  He also held an appointment as lecturer at elite school Sciences Po Aix (France) and served as a diplomat at the Embassy of France in New Delhi (India).</w:t>
            </w:r>
          </w:p>
          <w:p w:rsidR="0051577B" w:rsidRPr="00012F69" w:rsidRDefault="0051577B" w:rsidP="0051577B">
            <w:pPr>
              <w:pStyle w:val="NormalWeb"/>
              <w:spacing w:before="0" w:beforeAutospacing="0" w:after="0" w:afterAutospacing="0"/>
              <w:jc w:val="both"/>
              <w:rPr>
                <w:rFonts w:ascii="Arial" w:hAnsi="Arial" w:cs="Arial"/>
                <w:color w:val="6C6361"/>
                <w:sz w:val="10"/>
                <w:szCs w:val="12"/>
              </w:rPr>
            </w:pPr>
          </w:p>
          <w:p w:rsidR="0051577B" w:rsidRPr="00012F69" w:rsidRDefault="0051577B" w:rsidP="0051577B">
            <w:pPr>
              <w:pStyle w:val="NormalWeb"/>
              <w:spacing w:before="0" w:beforeAutospacing="0" w:after="0" w:afterAutospacing="0"/>
              <w:jc w:val="both"/>
              <w:rPr>
                <w:rFonts w:ascii="Arial" w:hAnsi="Arial" w:cs="Arial"/>
                <w:color w:val="6C6361"/>
                <w:sz w:val="23"/>
                <w:szCs w:val="23"/>
              </w:rPr>
            </w:pPr>
            <w:r w:rsidRPr="00012F69">
              <w:rPr>
                <w:rFonts w:ascii="Arial" w:hAnsi="Arial" w:cs="Arial"/>
                <w:color w:val="6C6361"/>
                <w:sz w:val="23"/>
                <w:szCs w:val="23"/>
              </w:rPr>
              <w:t xml:space="preserve">Dr. </w:t>
            </w:r>
            <w:proofErr w:type="spellStart"/>
            <w:r w:rsidRPr="00012F69">
              <w:rPr>
                <w:rFonts w:ascii="Arial" w:hAnsi="Arial" w:cs="Arial"/>
                <w:color w:val="6C6361"/>
                <w:sz w:val="23"/>
                <w:szCs w:val="23"/>
              </w:rPr>
              <w:t>Chaisse</w:t>
            </w:r>
            <w:proofErr w:type="spellEnd"/>
            <w:r w:rsidRPr="00012F69">
              <w:rPr>
                <w:rFonts w:ascii="Arial" w:hAnsi="Arial" w:cs="Arial"/>
                <w:color w:val="6C6361"/>
                <w:sz w:val="23"/>
                <w:szCs w:val="23"/>
              </w:rPr>
              <w:t xml:space="preserve"> is frequently invited to lecture at many academic institutions and leading universities around the world, including Columbia University (U.S.), University of Oxford (U.K.), Melbourne University (Australia), Tokyo University (Japan), and Tsinghua University (China).  Dr. </w:t>
            </w:r>
            <w:proofErr w:type="spellStart"/>
            <w:r w:rsidRPr="00012F69">
              <w:rPr>
                <w:rFonts w:ascii="Arial" w:hAnsi="Arial" w:cs="Arial"/>
                <w:color w:val="6C6361"/>
                <w:sz w:val="23"/>
                <w:szCs w:val="23"/>
              </w:rPr>
              <w:t>Chaisse</w:t>
            </w:r>
            <w:proofErr w:type="spellEnd"/>
            <w:r w:rsidRPr="00012F69">
              <w:rPr>
                <w:rFonts w:ascii="Arial" w:hAnsi="Arial" w:cs="Arial"/>
                <w:color w:val="6C6361"/>
                <w:sz w:val="23"/>
                <w:szCs w:val="23"/>
              </w:rPr>
              <w:t xml:space="preserve"> has published numerous well-regarded and widely-cited books and articles, such as "The Regulation of Global Water Services Market", Cambridge University Press (2017); "International Economic Law and Governance", Oxford University Press (2016); "Shareholder Protection Reloaded", Stanford Journal of International Law (2016); "Navigating the Expanding Universe of International Treaties on Foreign Investment", Journal of International Economic Law (2015); "Maintaining the WTO's Supremacy in the International Trade Order", Journal of International Economic Law (2013); and "Promises and Pitfalls of the European Union Policy on Foreign Investment", Journal of International Economic Law (2012).</w:t>
            </w:r>
          </w:p>
          <w:p w:rsidR="0051577B" w:rsidRPr="00012F69" w:rsidRDefault="0051577B" w:rsidP="0051577B">
            <w:pPr>
              <w:pStyle w:val="NormalWeb"/>
              <w:spacing w:before="0" w:beforeAutospacing="0" w:after="0" w:afterAutospacing="0"/>
              <w:jc w:val="both"/>
              <w:rPr>
                <w:rFonts w:ascii="Arial" w:hAnsi="Arial" w:cs="Arial"/>
                <w:color w:val="6C6361"/>
                <w:sz w:val="10"/>
                <w:szCs w:val="12"/>
              </w:rPr>
            </w:pPr>
          </w:p>
          <w:p w:rsidR="0051577B" w:rsidRPr="00012F69" w:rsidRDefault="0051577B" w:rsidP="0051577B">
            <w:pPr>
              <w:pStyle w:val="NormalWeb"/>
              <w:spacing w:before="0" w:beforeAutospacing="0" w:after="0" w:afterAutospacing="0"/>
              <w:jc w:val="both"/>
              <w:rPr>
                <w:rFonts w:ascii="Arial" w:hAnsi="Arial" w:cs="Arial"/>
                <w:color w:val="6C6361"/>
                <w:sz w:val="23"/>
                <w:szCs w:val="23"/>
              </w:rPr>
            </w:pPr>
            <w:r w:rsidRPr="00012F69">
              <w:rPr>
                <w:rFonts w:ascii="Arial" w:hAnsi="Arial" w:cs="Arial"/>
                <w:color w:val="6C6361"/>
                <w:sz w:val="23"/>
                <w:szCs w:val="23"/>
              </w:rPr>
              <w:t xml:space="preserve">In recognition of his outstanding academic performance, Dr. </w:t>
            </w:r>
            <w:proofErr w:type="spellStart"/>
            <w:r w:rsidRPr="00012F69">
              <w:rPr>
                <w:rFonts w:ascii="Arial" w:hAnsi="Arial" w:cs="Arial"/>
                <w:color w:val="6C6361"/>
                <w:sz w:val="23"/>
                <w:szCs w:val="23"/>
              </w:rPr>
              <w:t>Chaisse</w:t>
            </w:r>
            <w:proofErr w:type="spellEnd"/>
            <w:r w:rsidRPr="00012F69">
              <w:rPr>
                <w:rFonts w:ascii="Arial" w:hAnsi="Arial" w:cs="Arial"/>
                <w:color w:val="6C6361"/>
                <w:sz w:val="23"/>
                <w:szCs w:val="23"/>
              </w:rPr>
              <w:t xml:space="preserve"> received the CUHK Vice-Chancellor's Exemplary Teaching Award in 2015 and the CUHK Research Award in 2012.  Dr. </w:t>
            </w:r>
            <w:proofErr w:type="spellStart"/>
            <w:r w:rsidRPr="00012F69">
              <w:rPr>
                <w:rFonts w:ascii="Arial" w:hAnsi="Arial" w:cs="Arial"/>
                <w:color w:val="6C6361"/>
                <w:sz w:val="23"/>
                <w:szCs w:val="23"/>
              </w:rPr>
              <w:t>Chaisse</w:t>
            </w:r>
            <w:proofErr w:type="spellEnd"/>
            <w:r w:rsidRPr="00012F69">
              <w:rPr>
                <w:rFonts w:ascii="Arial" w:hAnsi="Arial" w:cs="Arial"/>
                <w:color w:val="6C6361"/>
                <w:sz w:val="23"/>
                <w:szCs w:val="23"/>
              </w:rPr>
              <w:t xml:space="preserve"> has held the appointment of Director of the Centre for Financial Regulation and Economic Development at CUHK Law since 2013, and has established forward-looking legal projects and events at CUHK, including the series of "Asia FDI Forum", which has become the most prominent conference on foreign investment regulation in Asia.</w:t>
            </w:r>
          </w:p>
          <w:p w:rsidR="0051577B" w:rsidRPr="00012F69" w:rsidRDefault="0051577B" w:rsidP="0051577B">
            <w:pPr>
              <w:pStyle w:val="NormalWeb"/>
              <w:spacing w:before="0" w:beforeAutospacing="0" w:after="0" w:afterAutospacing="0"/>
              <w:jc w:val="both"/>
              <w:rPr>
                <w:rFonts w:ascii="Arial" w:hAnsi="Arial" w:cs="Arial"/>
                <w:color w:val="6C6361"/>
                <w:sz w:val="10"/>
                <w:szCs w:val="12"/>
              </w:rPr>
            </w:pPr>
          </w:p>
          <w:p w:rsidR="0051577B" w:rsidRPr="00114089" w:rsidRDefault="0051577B" w:rsidP="0051577B">
            <w:pPr>
              <w:pStyle w:val="NormalWeb"/>
              <w:spacing w:before="0" w:beforeAutospacing="0" w:after="0" w:afterAutospacing="0"/>
              <w:jc w:val="both"/>
              <w:rPr>
                <w:rFonts w:ascii="Arial" w:hAnsi="Arial" w:cs="Arial"/>
                <w:color w:val="6C6361"/>
              </w:rPr>
            </w:pPr>
            <w:r w:rsidRPr="00012F69">
              <w:rPr>
                <w:rFonts w:ascii="Arial" w:hAnsi="Arial" w:cs="Arial"/>
                <w:color w:val="6C6361"/>
                <w:sz w:val="23"/>
                <w:szCs w:val="23"/>
              </w:rPr>
              <w:t xml:space="preserve">In addition to his professorship, Dr. </w:t>
            </w:r>
            <w:proofErr w:type="spellStart"/>
            <w:r w:rsidRPr="00012F69">
              <w:rPr>
                <w:rFonts w:ascii="Arial" w:hAnsi="Arial" w:cs="Arial"/>
                <w:color w:val="6C6361"/>
                <w:sz w:val="23"/>
                <w:szCs w:val="23"/>
              </w:rPr>
              <w:t>Chaisse</w:t>
            </w:r>
            <w:proofErr w:type="spellEnd"/>
            <w:r w:rsidRPr="00012F69">
              <w:rPr>
                <w:rFonts w:ascii="Arial" w:hAnsi="Arial" w:cs="Arial"/>
                <w:color w:val="6C6361"/>
                <w:sz w:val="23"/>
                <w:szCs w:val="23"/>
              </w:rPr>
              <w:t xml:space="preserve"> is a well-experienced arbitrator and a leading consultant to international organizations, governments, multinational law firms, and private investors.  He is also member of some of the world's foremost organizations, including the World Economic Forum's International Trade and Investment Council and the Internet Corporation for Assigned Names and Numbers (ICANN) in which Dr. </w:t>
            </w:r>
            <w:proofErr w:type="spellStart"/>
            <w:r w:rsidRPr="00012F69">
              <w:rPr>
                <w:rFonts w:ascii="Arial" w:hAnsi="Arial" w:cs="Arial"/>
                <w:color w:val="6C6361"/>
                <w:sz w:val="23"/>
                <w:szCs w:val="23"/>
              </w:rPr>
              <w:t>Chaisse</w:t>
            </w:r>
            <w:proofErr w:type="spellEnd"/>
            <w:r w:rsidRPr="00012F69">
              <w:rPr>
                <w:rFonts w:ascii="Arial" w:hAnsi="Arial" w:cs="Arial"/>
                <w:color w:val="6C6361"/>
                <w:sz w:val="23"/>
                <w:szCs w:val="23"/>
              </w:rPr>
              <w:t xml:space="preserve"> serves on the Working Group on </w:t>
            </w:r>
            <w:proofErr w:type="spellStart"/>
            <w:r w:rsidRPr="00012F69">
              <w:rPr>
                <w:rFonts w:ascii="Arial" w:hAnsi="Arial" w:cs="Arial"/>
                <w:color w:val="6C6361"/>
                <w:sz w:val="23"/>
                <w:szCs w:val="23"/>
              </w:rPr>
              <w:t>gTLDs</w:t>
            </w:r>
            <w:proofErr w:type="spellEnd"/>
            <w:r w:rsidRPr="00012F69">
              <w:rPr>
                <w:rFonts w:ascii="Arial" w:hAnsi="Arial" w:cs="Arial"/>
                <w:color w:val="6C6361"/>
                <w:sz w:val="23"/>
                <w:szCs w:val="23"/>
              </w:rPr>
              <w:t>' rights protection mechanisms review and the Accountability and Transparency Review program.</w:t>
            </w:r>
          </w:p>
        </w:tc>
      </w:tr>
    </w:tbl>
    <w:p w:rsidR="0051577B" w:rsidRPr="0051577B" w:rsidRDefault="0051577B" w:rsidP="0051577B">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51577B" w:rsidRPr="00390282" w:rsidTr="008971B8">
        <w:trPr>
          <w:trHeight w:val="340"/>
          <w:jc w:val="center"/>
        </w:trPr>
        <w:tc>
          <w:tcPr>
            <w:tcW w:w="10773" w:type="dxa"/>
            <w:tcBorders>
              <w:top w:val="nil"/>
              <w:bottom w:val="nil"/>
            </w:tcBorders>
            <w:shd w:val="clear" w:color="auto" w:fill="F0EBE1"/>
            <w:vAlign w:val="center"/>
          </w:tcPr>
          <w:p w:rsidR="0051577B" w:rsidRPr="00012F69" w:rsidRDefault="0051577B" w:rsidP="008971B8">
            <w:pPr>
              <w:jc w:val="center"/>
              <w:rPr>
                <w:rFonts w:ascii="Arial" w:hAnsi="Arial" w:cs="Arial"/>
                <w:b/>
                <w:color w:val="524B48"/>
                <w:szCs w:val="24"/>
              </w:rPr>
            </w:pPr>
            <w:r w:rsidRPr="00012F69">
              <w:rPr>
                <w:rFonts w:ascii="Arial" w:hAnsi="Arial" w:cs="Arial"/>
                <w:b/>
                <w:color w:val="524B48"/>
                <w:szCs w:val="24"/>
              </w:rPr>
              <w:lastRenderedPageBreak/>
              <w:t>Course Objective:</w:t>
            </w:r>
          </w:p>
        </w:tc>
      </w:tr>
      <w:tr w:rsidR="0051577B" w:rsidRPr="00390282" w:rsidTr="008971B8">
        <w:trPr>
          <w:trHeight w:val="5222"/>
          <w:jc w:val="center"/>
        </w:trPr>
        <w:tc>
          <w:tcPr>
            <w:tcW w:w="10773" w:type="dxa"/>
            <w:tcBorders>
              <w:top w:val="nil"/>
              <w:bottom w:val="nil"/>
            </w:tcBorders>
            <w:shd w:val="clear" w:color="auto" w:fill="FFFFFF"/>
            <w:vAlign w:val="center"/>
          </w:tcPr>
          <w:p w:rsidR="0051577B" w:rsidRPr="00012F69" w:rsidRDefault="0051577B" w:rsidP="008971B8">
            <w:pPr>
              <w:rPr>
                <w:rFonts w:ascii="Arial" w:hAnsi="Arial" w:cs="Arial"/>
                <w:color w:val="6C6361"/>
              </w:rPr>
            </w:pPr>
            <w:r w:rsidRPr="00012F69">
              <w:rPr>
                <w:rFonts w:ascii="Arial" w:hAnsi="Arial" w:cs="Arial"/>
                <w:color w:val="6C6361"/>
              </w:rPr>
              <w:t>The global landscape in the fight against cross-border tax avoidance and tax evasion has changed dramatically since the third International Conference on Financing for Development held in Addis Ababa in 2015.  A panel of senior experts will discuss the progress made by the UN and the OECD since the Addis call for more inclusiveness, both in terms of institutional arrangements and policy guidance, to support developing countries in coping with the challenges posed by international tax avoidance and evasion.  The call for change was made with a view to increasing tax revenues for investment in sustainable development.</w:t>
            </w:r>
          </w:p>
          <w:p w:rsidR="0051577B" w:rsidRPr="00012F69" w:rsidRDefault="0051577B" w:rsidP="008971B8">
            <w:pPr>
              <w:rPr>
                <w:rFonts w:ascii="Arial" w:hAnsi="Arial" w:cs="Arial"/>
                <w:color w:val="6C6361"/>
                <w:sz w:val="10"/>
              </w:rPr>
            </w:pPr>
          </w:p>
          <w:p w:rsidR="0051577B" w:rsidRPr="00012F69" w:rsidRDefault="0051577B" w:rsidP="008971B8">
            <w:pPr>
              <w:rPr>
                <w:rFonts w:ascii="Arial" w:hAnsi="Arial" w:cs="Arial"/>
                <w:color w:val="6C6361"/>
              </w:rPr>
            </w:pPr>
            <w:r w:rsidRPr="00012F69">
              <w:rPr>
                <w:rFonts w:ascii="Arial" w:hAnsi="Arial" w:cs="Arial"/>
                <w:color w:val="6C6361"/>
              </w:rPr>
              <w:t>The effectiveness and operational capacity of the UN Committee of Experts on International Co-operation in Tax Matters has been strengthened and its engagement with the UN Economic and Social Council (ECOSOC) increased.  The panel will show how this allowed the UN to achieve some important milestones in addressing international tax avoidance and evasion, including relevant updates to the UN Model Double Taxation Convention between Developed and Developing Countries and the UN Practical Manual on Transfer Pricing for Developing Countries as well as the adoption of the UN Code of Conduct on Co-operation in Combating International Tax Evasion.</w:t>
            </w:r>
          </w:p>
          <w:p w:rsidR="0051577B" w:rsidRPr="00012F69" w:rsidRDefault="0051577B" w:rsidP="008971B8">
            <w:pPr>
              <w:rPr>
                <w:rFonts w:ascii="Arial" w:hAnsi="Arial" w:cs="Arial"/>
                <w:color w:val="6C6361"/>
                <w:sz w:val="10"/>
              </w:rPr>
            </w:pPr>
          </w:p>
          <w:p w:rsidR="0051577B" w:rsidRPr="00E133D5" w:rsidRDefault="0051577B" w:rsidP="008971B8">
            <w:pPr>
              <w:rPr>
                <w:rFonts w:ascii="Arial" w:hAnsi="Arial" w:cs="Arial"/>
                <w:color w:val="6C6361"/>
                <w:sz w:val="24"/>
                <w:szCs w:val="24"/>
              </w:rPr>
            </w:pPr>
            <w:r w:rsidRPr="00012F69">
              <w:rPr>
                <w:rFonts w:ascii="Arial" w:hAnsi="Arial" w:cs="Arial"/>
                <w:color w:val="6C6361"/>
              </w:rPr>
              <w:t>The Inclusive Framework on Base Erosion and Profit Shifting (BEPS) and the Global Forum on Transparency and Exchange of Information (the Global Forum) have also been important in helping to bring about change, and in taking forward the commitments as agreed in Addis.  The course will explain how nearly 100 countries and jurisdictions are working together on an equal footing in the Inclusive Framework on BEPS to tackle tax avoidance, in particular preventing tax treaty abuse and introducing country-by-country reporting for the activities of multinational enterprises.</w:t>
            </w:r>
          </w:p>
        </w:tc>
      </w:tr>
    </w:tbl>
    <w:p w:rsidR="0051577B" w:rsidRPr="00012F69" w:rsidRDefault="0051577B" w:rsidP="0051577B">
      <w:pPr>
        <w:spacing w:line="276" w:lineRule="auto"/>
        <w:rPr>
          <w:rFonts w:ascii="Arial" w:hAnsi="Arial" w:cs="Arial"/>
          <w:sz w:val="14"/>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51577B" w:rsidRPr="00012F69" w:rsidTr="008971B8">
        <w:trPr>
          <w:trHeight w:val="340"/>
          <w:jc w:val="center"/>
        </w:trPr>
        <w:tc>
          <w:tcPr>
            <w:tcW w:w="10773" w:type="dxa"/>
            <w:tcBorders>
              <w:top w:val="nil"/>
              <w:bottom w:val="nil"/>
            </w:tcBorders>
            <w:shd w:val="clear" w:color="auto" w:fill="FFFFFF" w:themeFill="background1"/>
            <w:vAlign w:val="center"/>
          </w:tcPr>
          <w:p w:rsidR="0051577B" w:rsidRPr="00012F69" w:rsidRDefault="0051577B" w:rsidP="008971B8">
            <w:pPr>
              <w:jc w:val="center"/>
              <w:rPr>
                <w:rFonts w:ascii="Arial" w:hAnsi="Arial" w:cs="Arial"/>
                <w:b/>
                <w:color w:val="6C6361"/>
                <w:szCs w:val="24"/>
              </w:rPr>
            </w:pPr>
            <w:r w:rsidRPr="00012F69">
              <w:rPr>
                <w:rFonts w:ascii="Arial" w:hAnsi="Arial" w:cs="Arial"/>
                <w:b/>
                <w:color w:val="6C6361"/>
                <w:szCs w:val="24"/>
              </w:rPr>
              <w:t>Course Outline:</w:t>
            </w:r>
          </w:p>
        </w:tc>
      </w:tr>
      <w:tr w:rsidR="0051577B" w:rsidRPr="00012F69" w:rsidTr="008971B8">
        <w:trPr>
          <w:trHeight w:val="340"/>
          <w:jc w:val="center"/>
        </w:trPr>
        <w:tc>
          <w:tcPr>
            <w:tcW w:w="10773" w:type="dxa"/>
            <w:tcBorders>
              <w:top w:val="nil"/>
              <w:bottom w:val="nil"/>
            </w:tcBorders>
            <w:shd w:val="clear" w:color="auto" w:fill="F0EBE1"/>
            <w:vAlign w:val="center"/>
          </w:tcPr>
          <w:p w:rsidR="0051577B" w:rsidRPr="00012F69" w:rsidRDefault="0051577B" w:rsidP="008971B8">
            <w:pPr>
              <w:rPr>
                <w:rFonts w:ascii="Arial" w:hAnsi="Arial" w:cs="Arial"/>
                <w:b/>
                <w:color w:val="524B48"/>
                <w:szCs w:val="24"/>
              </w:rPr>
            </w:pPr>
            <w:r w:rsidRPr="00012F69">
              <w:rPr>
                <w:rFonts w:ascii="Arial" w:hAnsi="Arial" w:cs="Arial"/>
                <w:b/>
                <w:color w:val="524B48"/>
                <w:szCs w:val="24"/>
              </w:rPr>
              <w:t>In this course, you will have an opportunity to explore recent developments of key issues such as:</w:t>
            </w:r>
          </w:p>
        </w:tc>
      </w:tr>
      <w:tr w:rsidR="0051577B" w:rsidRPr="00012F69" w:rsidTr="008971B8">
        <w:trPr>
          <w:trHeight w:val="4745"/>
          <w:jc w:val="center"/>
        </w:trPr>
        <w:tc>
          <w:tcPr>
            <w:tcW w:w="10773" w:type="dxa"/>
            <w:tcBorders>
              <w:top w:val="nil"/>
              <w:bottom w:val="nil"/>
            </w:tcBorders>
            <w:shd w:val="clear" w:color="auto" w:fill="FFFFFF"/>
            <w:vAlign w:val="center"/>
          </w:tcPr>
          <w:p w:rsidR="0051577B" w:rsidRPr="00012F69" w:rsidRDefault="0051577B" w:rsidP="008971B8">
            <w:pPr>
              <w:pStyle w:val="ListParagraph"/>
              <w:numPr>
                <w:ilvl w:val="0"/>
                <w:numId w:val="2"/>
              </w:numPr>
              <w:rPr>
                <w:rFonts w:ascii="Arial" w:hAnsi="Arial" w:cs="Arial"/>
                <w:color w:val="6C6361"/>
                <w:szCs w:val="24"/>
              </w:rPr>
            </w:pPr>
            <w:r w:rsidRPr="00012F69">
              <w:rPr>
                <w:rFonts w:ascii="Arial" w:hAnsi="Arial" w:cs="Arial"/>
                <w:color w:val="6C6361"/>
                <w:szCs w:val="24"/>
              </w:rPr>
              <w:t>The BEPS outputs are soft law legal instruments.  They are not legally binding but there is an expectation that they will be implemented accordingly by countries that are part of the consensus.</w:t>
            </w:r>
          </w:p>
          <w:p w:rsidR="0051577B" w:rsidRPr="00012F69" w:rsidRDefault="0051577B" w:rsidP="008971B8">
            <w:pPr>
              <w:pStyle w:val="ListParagraph"/>
              <w:numPr>
                <w:ilvl w:val="0"/>
                <w:numId w:val="2"/>
              </w:numPr>
              <w:rPr>
                <w:rFonts w:ascii="Arial" w:hAnsi="Arial" w:cs="Arial"/>
                <w:color w:val="6C6361"/>
                <w:szCs w:val="24"/>
              </w:rPr>
            </w:pPr>
            <w:r w:rsidRPr="00012F69">
              <w:rPr>
                <w:rFonts w:ascii="Arial" w:hAnsi="Arial" w:cs="Arial"/>
                <w:color w:val="6C6361"/>
                <w:szCs w:val="24"/>
              </w:rPr>
              <w:t>The past track record in the tax area is rather positive.  Minimum standards were agreed in particular to tackle issues in cases where no action by some countries would have created negative spill overs (including adverse impacts of competitiveness) on other countries.</w:t>
            </w:r>
          </w:p>
          <w:p w:rsidR="0051577B" w:rsidRPr="00012F69" w:rsidRDefault="0051577B" w:rsidP="008971B8">
            <w:pPr>
              <w:pStyle w:val="ListParagraph"/>
              <w:numPr>
                <w:ilvl w:val="0"/>
                <w:numId w:val="2"/>
              </w:numPr>
              <w:rPr>
                <w:rFonts w:ascii="Arial" w:hAnsi="Arial" w:cs="Arial"/>
                <w:color w:val="6C6361"/>
                <w:szCs w:val="24"/>
              </w:rPr>
            </w:pPr>
            <w:proofErr w:type="spellStart"/>
            <w:r w:rsidRPr="00012F69">
              <w:rPr>
                <w:rFonts w:ascii="Arial" w:hAnsi="Arial" w:cs="Arial"/>
                <w:color w:val="6C6361"/>
                <w:szCs w:val="24"/>
              </w:rPr>
              <w:t>Recognising</w:t>
            </w:r>
            <w:proofErr w:type="spellEnd"/>
            <w:r w:rsidRPr="00012F69">
              <w:rPr>
                <w:rFonts w:ascii="Arial" w:hAnsi="Arial" w:cs="Arial"/>
                <w:color w:val="6C6361"/>
                <w:szCs w:val="24"/>
              </w:rPr>
              <w:t xml:space="preserve"> the need to level the playing field, all OECD and G20 countries have committed to consistent implementation in the areas of preventing treaty shopping, Country-by-Country Reporting, fighting harmful tax practices and improving dispute resolution.</w:t>
            </w:r>
          </w:p>
          <w:p w:rsidR="0051577B" w:rsidRPr="00012F69" w:rsidRDefault="0051577B" w:rsidP="008971B8">
            <w:pPr>
              <w:pStyle w:val="ListParagraph"/>
              <w:numPr>
                <w:ilvl w:val="0"/>
                <w:numId w:val="2"/>
              </w:numPr>
              <w:rPr>
                <w:rFonts w:ascii="Arial" w:hAnsi="Arial" w:cs="Arial"/>
                <w:color w:val="6C6361"/>
                <w:szCs w:val="24"/>
              </w:rPr>
            </w:pPr>
            <w:r w:rsidRPr="00012F69">
              <w:rPr>
                <w:rFonts w:ascii="Arial" w:hAnsi="Arial" w:cs="Arial"/>
                <w:color w:val="6C6361"/>
                <w:szCs w:val="24"/>
              </w:rPr>
              <w:t>In addition, existing standards have been updated and will be implemented, noting however that not all BEPS participants have endorsed the underlying standards on tax treaties or transfer pricing.</w:t>
            </w:r>
          </w:p>
          <w:p w:rsidR="0051577B" w:rsidRPr="00012F69" w:rsidRDefault="0051577B" w:rsidP="008971B8">
            <w:pPr>
              <w:pStyle w:val="ListParagraph"/>
              <w:numPr>
                <w:ilvl w:val="0"/>
                <w:numId w:val="2"/>
              </w:numPr>
              <w:rPr>
                <w:rFonts w:ascii="Arial" w:hAnsi="Arial" w:cs="Arial"/>
                <w:color w:val="6C6361"/>
                <w:szCs w:val="24"/>
              </w:rPr>
            </w:pPr>
            <w:r w:rsidRPr="00012F69">
              <w:rPr>
                <w:rFonts w:ascii="Arial" w:hAnsi="Arial" w:cs="Arial"/>
                <w:color w:val="6C6361"/>
                <w:szCs w:val="24"/>
              </w:rPr>
              <w:t>In other areas, such as recommendations on hybrid mismatch arrangements and best practices on interest deductibility, countries have agreed a general tax policy direction.  In these areas, they are expected to converge over time through the implementation of the agreed common approaches, thus enabling further consideration of whether such measures should become minimum standards in the future.</w:t>
            </w:r>
          </w:p>
          <w:p w:rsidR="0051577B" w:rsidRPr="00012F69" w:rsidRDefault="0051577B" w:rsidP="008971B8">
            <w:pPr>
              <w:pStyle w:val="ListParagraph"/>
              <w:numPr>
                <w:ilvl w:val="0"/>
                <w:numId w:val="2"/>
              </w:numPr>
              <w:rPr>
                <w:rFonts w:ascii="Arial" w:hAnsi="Arial" w:cs="Arial"/>
                <w:color w:val="6C6361"/>
                <w:szCs w:val="24"/>
              </w:rPr>
            </w:pPr>
            <w:r w:rsidRPr="00012F69">
              <w:rPr>
                <w:rFonts w:ascii="Arial" w:hAnsi="Arial" w:cs="Arial"/>
                <w:color w:val="6C6361"/>
                <w:szCs w:val="24"/>
              </w:rPr>
              <w:t>Guidance based on best practices will also support countries intending to act in the areas of mandatory disclosure initiatives or CFC legislation.</w:t>
            </w:r>
          </w:p>
          <w:p w:rsidR="0051577B" w:rsidRPr="00012F69" w:rsidRDefault="0051577B" w:rsidP="008971B8">
            <w:pPr>
              <w:pStyle w:val="ListParagraph"/>
              <w:numPr>
                <w:ilvl w:val="0"/>
                <w:numId w:val="2"/>
              </w:numPr>
              <w:rPr>
                <w:rFonts w:ascii="Arial" w:hAnsi="Arial" w:cs="Arial"/>
                <w:color w:val="6C6361"/>
                <w:szCs w:val="24"/>
              </w:rPr>
            </w:pPr>
            <w:r w:rsidRPr="00012F69">
              <w:rPr>
                <w:rFonts w:ascii="Arial" w:hAnsi="Arial" w:cs="Arial"/>
                <w:color w:val="6C6361"/>
                <w:szCs w:val="24"/>
              </w:rPr>
              <w:t>New tax rules may however conflict with investment treaties and trade rules.</w:t>
            </w:r>
            <w:r>
              <w:rPr>
                <w:rFonts w:ascii="Arial" w:hAnsi="Arial" w:cs="Arial"/>
                <w:color w:val="6C6361"/>
                <w:szCs w:val="24"/>
              </w:rPr>
              <w:t xml:space="preserve"> </w:t>
            </w:r>
          </w:p>
        </w:tc>
      </w:tr>
    </w:tbl>
    <w:p w:rsidR="0051577B" w:rsidRPr="0051577B" w:rsidRDefault="0051577B" w:rsidP="00334B93">
      <w:pPr>
        <w:spacing w:line="276" w:lineRule="auto"/>
        <w:rPr>
          <w:rFonts w:ascii="Arial" w:hAnsi="Arial" w:cs="Arial"/>
          <w:sz w:val="14"/>
          <w:szCs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6"/>
        <w:gridCol w:w="2863"/>
        <w:gridCol w:w="794"/>
        <w:gridCol w:w="1699"/>
        <w:gridCol w:w="2491"/>
        <w:gridCol w:w="1239"/>
      </w:tblGrid>
      <w:tr w:rsidR="002B5992" w:rsidRPr="00320F79" w:rsidTr="0051577B">
        <w:trPr>
          <w:trHeight w:val="340"/>
          <w:jc w:val="center"/>
        </w:trPr>
        <w:tc>
          <w:tcPr>
            <w:tcW w:w="1686" w:type="dxa"/>
            <w:tcBorders>
              <w:top w:val="nil"/>
              <w:left w:val="nil"/>
              <w:bottom w:val="single" w:sz="12" w:space="0" w:color="FFFFFF"/>
            </w:tcBorders>
            <w:shd w:val="clear" w:color="auto" w:fill="F0EBE1"/>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57" w:type="dxa"/>
            <w:gridSpan w:val="2"/>
            <w:tcBorders>
              <w:top w:val="nil"/>
              <w:bottom w:val="single" w:sz="12" w:space="0" w:color="F0EBE1"/>
            </w:tcBorders>
            <w:shd w:val="clear" w:color="auto" w:fill="FFFFFF"/>
            <w:vAlign w:val="center"/>
          </w:tcPr>
          <w:p w:rsidR="002B5992" w:rsidRPr="00320F79" w:rsidRDefault="0051577B"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EVT000000256</w:t>
            </w:r>
          </w:p>
        </w:tc>
        <w:tc>
          <w:tcPr>
            <w:tcW w:w="1699" w:type="dxa"/>
            <w:tcBorders>
              <w:top w:val="nil"/>
              <w:bottom w:val="single" w:sz="12" w:space="0" w:color="FFFFFF"/>
            </w:tcBorders>
            <w:shd w:val="clear" w:color="auto" w:fill="F0EBE1"/>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730" w:type="dxa"/>
            <w:gridSpan w:val="2"/>
            <w:tcBorders>
              <w:top w:val="nil"/>
              <w:bottom w:val="single" w:sz="12" w:space="0" w:color="F0EBE1"/>
              <w:right w:val="nil"/>
            </w:tcBorders>
            <w:shd w:val="clear" w:color="auto" w:fill="FFFFFF"/>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2B5992" w:rsidRPr="00320F79" w:rsidTr="0051577B">
        <w:trPr>
          <w:trHeight w:val="340"/>
          <w:jc w:val="center"/>
        </w:trPr>
        <w:tc>
          <w:tcPr>
            <w:tcW w:w="1686" w:type="dxa"/>
            <w:tcBorders>
              <w:top w:val="single" w:sz="12" w:space="0" w:color="FFFFFF"/>
              <w:left w:val="nil"/>
              <w:bottom w:val="single" w:sz="12" w:space="0" w:color="FFFFFF"/>
            </w:tcBorders>
            <w:shd w:val="clear" w:color="auto" w:fill="F0EBE1"/>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57" w:type="dxa"/>
            <w:gridSpan w:val="2"/>
            <w:tcBorders>
              <w:top w:val="single" w:sz="12" w:space="0" w:color="F0EBE1"/>
              <w:bottom w:val="single" w:sz="12" w:space="0" w:color="F0EBE1"/>
            </w:tcBorders>
            <w:shd w:val="clear" w:color="auto" w:fill="FFFFFF"/>
            <w:vAlign w:val="center"/>
          </w:tcPr>
          <w:p w:rsidR="002B5992" w:rsidRPr="00320F79" w:rsidRDefault="0051577B" w:rsidP="005157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30 November 2018 (Friday)</w:t>
            </w:r>
          </w:p>
        </w:tc>
        <w:tc>
          <w:tcPr>
            <w:tcW w:w="1699" w:type="dxa"/>
            <w:tcBorders>
              <w:top w:val="single" w:sz="12" w:space="0" w:color="FFFFFF"/>
              <w:bottom w:val="single" w:sz="12" w:space="0" w:color="FFFFFF"/>
            </w:tcBorders>
            <w:shd w:val="clear" w:color="auto" w:fill="F0EBE1"/>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730" w:type="dxa"/>
            <w:gridSpan w:val="2"/>
            <w:tcBorders>
              <w:top w:val="single" w:sz="12" w:space="0" w:color="F0EBE1"/>
              <w:bottom w:val="single" w:sz="12" w:space="0" w:color="F0EBE1"/>
              <w:right w:val="nil"/>
            </w:tcBorders>
            <w:shd w:val="clear" w:color="auto" w:fill="FFFFFF"/>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2B5992" w:rsidRPr="00320F79" w:rsidTr="0051577B">
        <w:trPr>
          <w:trHeight w:val="340"/>
          <w:jc w:val="center"/>
        </w:trPr>
        <w:tc>
          <w:tcPr>
            <w:tcW w:w="1686" w:type="dxa"/>
            <w:tcBorders>
              <w:top w:val="single" w:sz="12" w:space="0" w:color="FFFFFF"/>
              <w:left w:val="nil"/>
              <w:bottom w:val="single" w:sz="12" w:space="0" w:color="FFFFFF"/>
            </w:tcBorders>
            <w:shd w:val="clear" w:color="auto" w:fill="F0EBE1"/>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57" w:type="dxa"/>
            <w:gridSpan w:val="2"/>
            <w:tcBorders>
              <w:top w:val="single" w:sz="12" w:space="0" w:color="F0EBE1"/>
              <w:bottom w:val="single" w:sz="12" w:space="0" w:color="F0EBE1"/>
            </w:tcBorders>
            <w:shd w:val="clear" w:color="auto" w:fill="FFFFFF"/>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w:t>
            </w:r>
            <w:r w:rsidRPr="00320F79">
              <w:rPr>
                <w:rFonts w:ascii="Arial" w:hAnsi="Arial" w:cs="Arial"/>
                <w:b/>
                <w:color w:val="6C6361"/>
                <w:sz w:val="20"/>
                <w:szCs w:val="20"/>
              </w:rPr>
              <w:t xml:space="preserve">0 - </w:t>
            </w:r>
            <w:r>
              <w:rPr>
                <w:rFonts w:ascii="Arial" w:hAnsi="Arial" w:cs="Arial"/>
                <w:b/>
                <w:color w:val="6C6361"/>
                <w:sz w:val="20"/>
                <w:szCs w:val="20"/>
              </w:rPr>
              <w:t>12:45</w:t>
            </w:r>
          </w:p>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09:0</w:t>
            </w:r>
            <w:r w:rsidRPr="00320F79">
              <w:rPr>
                <w:rFonts w:ascii="Arial" w:hAnsi="Arial" w:cs="Arial"/>
                <w:color w:val="6C6361"/>
                <w:sz w:val="20"/>
                <w:szCs w:val="20"/>
              </w:rPr>
              <w:t>0)</w:t>
            </w:r>
          </w:p>
        </w:tc>
        <w:tc>
          <w:tcPr>
            <w:tcW w:w="1699" w:type="dxa"/>
            <w:tcBorders>
              <w:top w:val="single" w:sz="12" w:space="0" w:color="FFFFFF"/>
              <w:bottom w:val="single" w:sz="12" w:space="0" w:color="FFFFFF"/>
            </w:tcBorders>
            <w:shd w:val="clear" w:color="auto" w:fill="F0EBE1"/>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730" w:type="dxa"/>
            <w:gridSpan w:val="2"/>
            <w:tcBorders>
              <w:top w:val="single" w:sz="12" w:space="0" w:color="F0EBE1"/>
              <w:bottom w:val="single" w:sz="12" w:space="0" w:color="F0EBE1"/>
              <w:right w:val="nil"/>
            </w:tcBorders>
            <w:shd w:val="clear" w:color="auto" w:fill="FFFFFF"/>
            <w:vAlign w:val="center"/>
          </w:tcPr>
          <w:p w:rsidR="002B5992"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D54D03">
              <w:rPr>
                <w:rFonts w:ascii="Arial" w:hAnsi="Arial" w:cs="Arial"/>
                <w:b/>
                <w:color w:val="6C6361"/>
                <w:sz w:val="20"/>
                <w:szCs w:val="20"/>
              </w:rPr>
              <w:t>LSHK</w:t>
            </w:r>
            <w:r>
              <w:rPr>
                <w:rFonts w:ascii="Arial" w:hAnsi="Arial" w:cs="Arial"/>
                <w:b/>
                <w:color w:val="6C6361"/>
                <w:sz w:val="20"/>
                <w:szCs w:val="20"/>
              </w:rPr>
              <w:t xml:space="preserve"> 3.0 CPD Points</w:t>
            </w:r>
          </w:p>
          <w:p w:rsidR="002B5992" w:rsidRPr="00B745DB"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334B93" w:rsidRPr="00320F79" w:rsidTr="005325E9">
        <w:trPr>
          <w:trHeight w:val="1247"/>
          <w:jc w:val="center"/>
        </w:trPr>
        <w:tc>
          <w:tcPr>
            <w:tcW w:w="1686" w:type="dxa"/>
            <w:tcBorders>
              <w:top w:val="single" w:sz="12" w:space="0" w:color="FFFFFF"/>
              <w:left w:val="nil"/>
              <w:bottom w:val="nil"/>
            </w:tcBorders>
            <w:shd w:val="clear" w:color="auto" w:fill="F0EBE1"/>
            <w:vAlign w:val="center"/>
          </w:tcPr>
          <w:p w:rsidR="00334B93" w:rsidRPr="00320F79"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63" w:type="dxa"/>
            <w:tcBorders>
              <w:top w:val="single" w:sz="12" w:space="0" w:color="F0EBE1"/>
              <w:bottom w:val="nil"/>
              <w:right w:val="nil"/>
            </w:tcBorders>
            <w:shd w:val="clear" w:color="auto" w:fill="FFFFFF"/>
            <w:vAlign w:val="center"/>
          </w:tcPr>
          <w:p w:rsidR="00334B93" w:rsidRPr="00320F79" w:rsidRDefault="00334B93" w:rsidP="00525B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334B93" w:rsidRPr="00320F79"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334B93" w:rsidRPr="00320F79"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334B93" w:rsidRPr="00320F79"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34B93" w:rsidRDefault="00334B93" w:rsidP="00525B8F">
            <w:pPr>
              <w:jc w:val="right"/>
              <w:rPr>
                <w:rFonts w:ascii="Arial" w:hAnsi="Arial" w:cs="Arial"/>
                <w:b/>
                <w:color w:val="6C6361"/>
                <w:sz w:val="20"/>
                <w:szCs w:val="20"/>
              </w:rPr>
            </w:pPr>
          </w:p>
          <w:p w:rsidR="00334B93" w:rsidRDefault="00334B93" w:rsidP="00525B8F">
            <w:pPr>
              <w:jc w:val="right"/>
              <w:rPr>
                <w:rFonts w:ascii="Arial" w:hAnsi="Arial" w:cs="Arial"/>
                <w:b/>
                <w:color w:val="6C6361"/>
                <w:sz w:val="20"/>
                <w:szCs w:val="20"/>
              </w:rPr>
            </w:pPr>
          </w:p>
          <w:p w:rsidR="00334B93" w:rsidRPr="00320F79" w:rsidRDefault="00334B93" w:rsidP="00525B8F">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D72B754" wp14:editId="44EFFADD">
                  <wp:extent cx="360000" cy="360000"/>
                  <wp:effectExtent l="0" t="0" r="0" b="0"/>
                  <wp:docPr id="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34B93" w:rsidRPr="00E2201B" w:rsidRDefault="00334B93" w:rsidP="00525B8F">
            <w:pPr>
              <w:jc w:val="right"/>
              <w:rPr>
                <w:rFonts w:ascii="Arial" w:hAnsi="Arial" w:cs="Arial"/>
                <w:b/>
                <w:color w:val="6C6361"/>
                <w:sz w:val="12"/>
                <w:szCs w:val="12"/>
              </w:rPr>
            </w:pPr>
          </w:p>
        </w:tc>
        <w:tc>
          <w:tcPr>
            <w:tcW w:w="1699" w:type="dxa"/>
            <w:tcBorders>
              <w:top w:val="single" w:sz="12" w:space="0" w:color="FFFFFF"/>
              <w:bottom w:val="nil"/>
            </w:tcBorders>
            <w:shd w:val="clear" w:color="auto" w:fill="F0EBE1"/>
            <w:vAlign w:val="center"/>
          </w:tcPr>
          <w:p w:rsidR="00334B93" w:rsidRPr="003A2A41"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34B93" w:rsidRPr="003A2A41"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91" w:type="dxa"/>
            <w:tcBorders>
              <w:top w:val="single" w:sz="12" w:space="0" w:color="F0EBE1"/>
              <w:bottom w:val="nil"/>
              <w:right w:val="nil"/>
            </w:tcBorders>
            <w:shd w:val="clear" w:color="auto" w:fill="FFFFFF"/>
            <w:vAlign w:val="center"/>
          </w:tcPr>
          <w:p w:rsidR="00334B93" w:rsidRPr="003A2A41"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5" w:history="1">
              <w:r w:rsidRPr="003A2A41">
                <w:rPr>
                  <w:rStyle w:val="Hyperlink"/>
                  <w:rFonts w:ascii="Arial" w:eastAsia="Times New Roman" w:hAnsi="Arial" w:cs="Arial"/>
                  <w:b/>
                  <w:noProof/>
                  <w:color w:val="6C6361"/>
                  <w:sz w:val="20"/>
                  <w:szCs w:val="20"/>
                  <w:u w:val="none"/>
                </w:rPr>
                <w:t>Contact Us</w:t>
              </w:r>
            </w:hyperlink>
          </w:p>
          <w:p w:rsidR="00334B93" w:rsidRPr="003A2A41"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334B93" w:rsidRPr="00156567"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577D8F6" wp14:editId="21CB25B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5325E9" w:rsidRDefault="00214BC6" w:rsidP="00334B93">
      <w:pPr>
        <w:rPr>
          <w:sz w:val="2"/>
          <w:szCs w:val="2"/>
        </w:rPr>
      </w:pPr>
    </w:p>
    <w:sectPr w:rsidR="00214BC6" w:rsidRPr="005325E9" w:rsidSect="000F34E0">
      <w:headerReference w:type="default" r:id="rId17"/>
      <w:footerReference w:type="default" r:id="rId18"/>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842" w:rsidRDefault="007D5842" w:rsidP="00546556">
      <w:r>
        <w:separator/>
      </w:r>
    </w:p>
  </w:endnote>
  <w:endnote w:type="continuationSeparator" w:id="0">
    <w:p w:rsidR="007D5842" w:rsidRDefault="007D584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842" w:rsidRDefault="007D5842" w:rsidP="00546556">
      <w:r>
        <w:separator/>
      </w:r>
    </w:p>
  </w:footnote>
  <w:footnote w:type="continuationSeparator" w:id="0">
    <w:p w:rsidR="007D5842" w:rsidRDefault="007D5842"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QhPl02LMimaIWRYUGkgHsewfZZs7msRfmNLDgzV1yWSCjCAlTbCew1xoFtXtBx9LQ/0yklEt1FWyTCc/IzzqWA==" w:salt="8nlEVCA/e9LT2GwJ8lsa0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0D4"/>
    <w:rsid w:val="001F0546"/>
    <w:rsid w:val="001F1C2D"/>
    <w:rsid w:val="001F22C2"/>
    <w:rsid w:val="001F3652"/>
    <w:rsid w:val="001F5DDC"/>
    <w:rsid w:val="001F5EAB"/>
    <w:rsid w:val="001F6E28"/>
    <w:rsid w:val="001F7941"/>
    <w:rsid w:val="001F7DDD"/>
    <w:rsid w:val="002026F9"/>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5992"/>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E1F"/>
    <w:rsid w:val="00327337"/>
    <w:rsid w:val="00327580"/>
    <w:rsid w:val="003314D0"/>
    <w:rsid w:val="00332C25"/>
    <w:rsid w:val="00332DFD"/>
    <w:rsid w:val="00334B93"/>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6E88"/>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77B"/>
    <w:rsid w:val="00515D95"/>
    <w:rsid w:val="00516B85"/>
    <w:rsid w:val="005210C6"/>
    <w:rsid w:val="00522FD3"/>
    <w:rsid w:val="00522FEC"/>
    <w:rsid w:val="00523649"/>
    <w:rsid w:val="005240C4"/>
    <w:rsid w:val="0052411E"/>
    <w:rsid w:val="00525AD3"/>
    <w:rsid w:val="00526AC4"/>
    <w:rsid w:val="005312B9"/>
    <w:rsid w:val="00531828"/>
    <w:rsid w:val="00532283"/>
    <w:rsid w:val="005325E9"/>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B6CC8"/>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84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04C"/>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2FFA"/>
    <w:rsid w:val="009A3216"/>
    <w:rsid w:val="009A423D"/>
    <w:rsid w:val="009A5018"/>
    <w:rsid w:val="009A573B"/>
    <w:rsid w:val="009A590F"/>
    <w:rsid w:val="009A5955"/>
    <w:rsid w:val="009A7324"/>
    <w:rsid w:val="009B04F4"/>
    <w:rsid w:val="009B0A32"/>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66EC"/>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2A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47E62"/>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4B20"/>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61C"/>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7C1"/>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00/" TargetMode="External"/><Relationship Id="rId13" Type="http://schemas.openxmlformats.org/officeDocument/2006/relationships/hyperlink" Target="http://goo.gl/maps/DKYQ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ailto:marketing@profectional.com" TargetMode="Externa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pd.hk/evt000000256/" TargetMode="Externa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DF853-CCEE-4127-8799-28F1D30E0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1041</Words>
  <Characters>5936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CPD Course, CPT Course: Treatment of Foreign Investment: International Perspectives</vt:lpstr>
    </vt:vector>
  </TitlesOfParts>
  <Manager>Tyrone Tsang</Manager>
  <Company>The Profectional Company Limited</Company>
  <LinksUpToDate>false</LinksUpToDate>
  <CharactersWithSpaces>6964</CharactersWithSpaces>
  <SharedDoc>false</SharedDoc>
  <HyperlinkBase>http://download.profectional.com/events/EVT000000256.docx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The Changing Global Landscape of International Tax Co-operation: BEPS and the Trade/Investment Challenges</dc:title>
  <dc:subject>CPD Course, CPT Course: The Changing Global Landscape of International Tax Co-operation: BEPS and the Trade/Investment Challenges</dc:subject>
  <dc:creator>The Profectional Company Limited</dc:creator>
  <cp:keywords>Profectional; Kornerstone; CPD; CPT; CLE; CE; RME; Julien Chaisse; Professor; The Chinese University of Hong Kong</cp:keywords>
  <cp:lastModifiedBy>Tyrone Tsang</cp:lastModifiedBy>
  <cp:revision>26</cp:revision>
  <cp:lastPrinted>2019-03-27T17:13:00Z</cp:lastPrinted>
  <dcterms:created xsi:type="dcterms:W3CDTF">2015-08-21T08:33:00Z</dcterms:created>
  <dcterms:modified xsi:type="dcterms:W3CDTF">2019-03-27T17:13:00Z</dcterms:modified>
</cp:coreProperties>
</file>