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5E9" w:rsidRPr="005325E9" w:rsidRDefault="005325E9" w:rsidP="005325E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325E9" w:rsidRPr="00523A64" w:rsidTr="00692B62">
        <w:trPr>
          <w:trHeight w:val="3119"/>
          <w:jc w:val="center"/>
        </w:trPr>
        <w:tc>
          <w:tcPr>
            <w:tcW w:w="4820" w:type="dxa"/>
            <w:shd w:val="clear" w:color="auto" w:fill="FFFFFF"/>
            <w:vAlign w:val="center"/>
          </w:tcPr>
          <w:p w:rsidR="005325E9" w:rsidRPr="001A3018" w:rsidRDefault="005325E9" w:rsidP="00692B62">
            <w:pPr>
              <w:jc w:val="center"/>
              <w:rPr>
                <w:rFonts w:ascii="Arial" w:hAnsi="Arial" w:cs="Arial"/>
                <w:b/>
                <w:bCs/>
                <w:color w:val="524B48"/>
                <w:sz w:val="4"/>
                <w:szCs w:val="4"/>
              </w:rPr>
            </w:pPr>
          </w:p>
          <w:p w:rsidR="005325E9" w:rsidRPr="005B0330" w:rsidRDefault="005325E9" w:rsidP="00692B62">
            <w:pPr>
              <w:jc w:val="center"/>
              <w:rPr>
                <w:rStyle w:val="Hyperlink"/>
                <w:rFonts w:ascii="Arial" w:hAnsi="Arial" w:cs="Arial"/>
                <w:b/>
                <w:bCs/>
                <w:color w:val="524B48"/>
                <w:sz w:val="32"/>
                <w:szCs w:val="32"/>
                <w:u w:val="none"/>
              </w:rPr>
            </w:pPr>
            <w:r w:rsidRPr="00CF685C">
              <w:fldChar w:fldCharType="begin"/>
            </w:r>
            <w:r>
              <w:instrText>HYPERLINK "http://cpd.hk/evt000000257/"</w:instrText>
            </w:r>
            <w:r w:rsidRPr="00CF685C">
              <w:fldChar w:fldCharType="separate"/>
            </w:r>
            <w:r w:rsidRPr="005B0330">
              <w:rPr>
                <w:rStyle w:val="Hyperlink"/>
                <w:rFonts w:ascii="Arial" w:hAnsi="Arial" w:cs="Arial"/>
                <w:b/>
                <w:bCs/>
                <w:color w:val="524B48"/>
                <w:sz w:val="32"/>
                <w:szCs w:val="32"/>
                <w:u w:val="none"/>
              </w:rPr>
              <w:t>Hong Kong’s</w:t>
            </w:r>
          </w:p>
          <w:p w:rsidR="005325E9" w:rsidRPr="005B0330" w:rsidRDefault="005325E9" w:rsidP="00692B62">
            <w:pPr>
              <w:jc w:val="center"/>
              <w:rPr>
                <w:rStyle w:val="Hyperlink"/>
                <w:rFonts w:ascii="Arial" w:hAnsi="Arial" w:cs="Arial"/>
                <w:b/>
                <w:bCs/>
                <w:color w:val="524B48"/>
                <w:sz w:val="32"/>
                <w:szCs w:val="32"/>
                <w:u w:val="none"/>
              </w:rPr>
            </w:pPr>
            <w:r w:rsidRPr="005B0330">
              <w:rPr>
                <w:rStyle w:val="Hyperlink"/>
                <w:rFonts w:ascii="Arial" w:hAnsi="Arial" w:cs="Arial"/>
                <w:b/>
                <w:bCs/>
                <w:color w:val="524B48"/>
                <w:sz w:val="32"/>
                <w:szCs w:val="32"/>
                <w:u w:val="none"/>
              </w:rPr>
              <w:t>International Rules</w:t>
            </w:r>
          </w:p>
          <w:p w:rsidR="005325E9" w:rsidRPr="005B0330" w:rsidRDefault="005325E9" w:rsidP="00692B62">
            <w:pPr>
              <w:jc w:val="center"/>
              <w:rPr>
                <w:rStyle w:val="Hyperlink"/>
                <w:rFonts w:ascii="Arial" w:hAnsi="Arial" w:cs="Arial"/>
                <w:b/>
                <w:bCs/>
                <w:color w:val="524B48"/>
                <w:sz w:val="32"/>
                <w:szCs w:val="32"/>
                <w:u w:val="none"/>
              </w:rPr>
            </w:pPr>
            <w:r w:rsidRPr="005B0330">
              <w:rPr>
                <w:rStyle w:val="Hyperlink"/>
                <w:rFonts w:ascii="Arial" w:hAnsi="Arial" w:cs="Arial"/>
                <w:b/>
                <w:bCs/>
                <w:color w:val="524B48"/>
                <w:sz w:val="32"/>
                <w:szCs w:val="32"/>
                <w:u w:val="none"/>
              </w:rPr>
              <w:t>on Foreign Investment:</w:t>
            </w:r>
          </w:p>
          <w:p w:rsidR="005325E9" w:rsidRPr="005B0330" w:rsidRDefault="005325E9" w:rsidP="00692B62">
            <w:pPr>
              <w:jc w:val="center"/>
              <w:rPr>
                <w:rStyle w:val="Hyperlink"/>
                <w:rFonts w:ascii="Arial" w:hAnsi="Arial" w:cs="Arial"/>
                <w:b/>
                <w:bCs/>
                <w:color w:val="524B48"/>
                <w:sz w:val="32"/>
                <w:szCs w:val="32"/>
                <w:u w:val="none"/>
              </w:rPr>
            </w:pPr>
            <w:r w:rsidRPr="005B0330">
              <w:rPr>
                <w:rStyle w:val="Hyperlink"/>
                <w:rFonts w:ascii="Arial" w:hAnsi="Arial" w:cs="Arial"/>
                <w:b/>
                <w:bCs/>
                <w:color w:val="524B48"/>
                <w:sz w:val="32"/>
                <w:szCs w:val="32"/>
                <w:u w:val="none"/>
              </w:rPr>
              <w:t>Issues and Opportunities</w:t>
            </w:r>
          </w:p>
          <w:p w:rsidR="005325E9" w:rsidRPr="00CF685C" w:rsidRDefault="005325E9" w:rsidP="00692B62">
            <w:pPr>
              <w:jc w:val="center"/>
              <w:rPr>
                <w:rStyle w:val="Hyperlink"/>
                <w:rFonts w:ascii="Arial" w:hAnsi="Arial" w:cs="Arial"/>
                <w:b/>
                <w:bCs/>
                <w:color w:val="524B48"/>
                <w:sz w:val="32"/>
                <w:szCs w:val="32"/>
                <w:u w:val="none"/>
              </w:rPr>
            </w:pPr>
            <w:r w:rsidRPr="005B0330">
              <w:rPr>
                <w:rStyle w:val="Hyperlink"/>
                <w:rFonts w:ascii="Arial" w:hAnsi="Arial" w:cs="Arial"/>
                <w:b/>
                <w:bCs/>
                <w:color w:val="524B48"/>
                <w:sz w:val="32"/>
                <w:szCs w:val="32"/>
                <w:u w:val="none"/>
              </w:rPr>
              <w:t>for the Belt and Road</w:t>
            </w:r>
          </w:p>
          <w:p w:rsidR="005325E9" w:rsidRPr="00C65AFD" w:rsidRDefault="005325E9" w:rsidP="00692B6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5325E9" w:rsidRPr="00C65AFD" w:rsidRDefault="005325E9" w:rsidP="00692B62">
            <w:pPr>
              <w:jc w:val="center"/>
              <w:rPr>
                <w:rFonts w:ascii="Arial" w:hAnsi="Arial" w:cs="Arial"/>
                <w:i/>
                <w:color w:val="6C6361"/>
                <w:sz w:val="24"/>
                <w:szCs w:val="24"/>
              </w:rPr>
            </w:pPr>
            <w:r w:rsidRPr="00C65AFD">
              <w:rPr>
                <w:rFonts w:ascii="Arial" w:hAnsi="Arial" w:cs="Arial"/>
                <w:i/>
                <w:color w:val="6C6361"/>
                <w:sz w:val="24"/>
                <w:szCs w:val="24"/>
              </w:rPr>
              <w:t>by</w:t>
            </w:r>
          </w:p>
          <w:p w:rsidR="005325E9" w:rsidRDefault="005325E9" w:rsidP="00692B62">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5325E9" w:rsidRPr="0051550E" w:rsidRDefault="005325E9" w:rsidP="00692B62">
            <w:pPr>
              <w:jc w:val="center"/>
              <w:rPr>
                <w:rFonts w:ascii="Arial" w:hAnsi="Arial" w:cs="Arial"/>
                <w:color w:val="6C6361"/>
                <w:sz w:val="24"/>
                <w:szCs w:val="24"/>
              </w:rPr>
            </w:pPr>
            <w:r w:rsidRPr="0051550E">
              <w:rPr>
                <w:rFonts w:ascii="Arial" w:hAnsi="Arial" w:cs="Arial"/>
                <w:color w:val="6C6361"/>
                <w:sz w:val="24"/>
                <w:szCs w:val="24"/>
              </w:rPr>
              <w:t>Professor,</w:t>
            </w:r>
          </w:p>
          <w:p w:rsidR="005325E9" w:rsidRPr="00D87ECF" w:rsidRDefault="005325E9" w:rsidP="00692B62">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5325E9" w:rsidRPr="00D50772" w:rsidRDefault="005325E9" w:rsidP="00692B62">
            <w:pPr>
              <w:spacing w:line="276" w:lineRule="auto"/>
              <w:jc w:val="center"/>
              <w:rPr>
                <w:rFonts w:ascii="Arial" w:eastAsia="Times New Roman" w:hAnsi="Arial" w:cs="Arial"/>
                <w:noProof/>
                <w:sz w:val="20"/>
                <w:szCs w:val="20"/>
              </w:rPr>
            </w:pPr>
            <w:r w:rsidRPr="008858BB">
              <w:rPr>
                <w:rFonts w:ascii="Arial" w:eastAsia="Times New Roman" w:hAnsi="Arial" w:cs="Arial"/>
                <w:noProof/>
                <w:sz w:val="20"/>
                <w:szCs w:val="20"/>
              </w:rPr>
              <w:drawing>
                <wp:anchor distT="0" distB="0" distL="114300" distR="114300" simplePos="0" relativeHeight="251660288" behindDoc="0" locked="0" layoutInCell="1" allowOverlap="1" wp14:anchorId="5608C77E" wp14:editId="29D9FDFF">
                  <wp:simplePos x="0" y="0"/>
                  <wp:positionH relativeFrom="column">
                    <wp:posOffset>3170555</wp:posOffset>
                  </wp:positionH>
                  <wp:positionV relativeFrom="paragraph">
                    <wp:posOffset>-98425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F1F595" wp14:editId="1F6715B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325E9" w:rsidRDefault="005325E9" w:rsidP="005325E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325E9" w:rsidRPr="00114089" w:rsidTr="00692B62">
        <w:trPr>
          <w:trHeight w:val="10522"/>
          <w:jc w:val="center"/>
        </w:trPr>
        <w:tc>
          <w:tcPr>
            <w:tcW w:w="1985" w:type="dxa"/>
            <w:shd w:val="clear" w:color="auto" w:fill="FFFFFF"/>
            <w:vAlign w:val="center"/>
          </w:tcPr>
          <w:p w:rsidR="005325E9" w:rsidRPr="00114089" w:rsidRDefault="005325E9" w:rsidP="00692B62">
            <w:pPr>
              <w:spacing w:line="276" w:lineRule="auto"/>
              <w:jc w:val="center"/>
              <w:rPr>
                <w:rFonts w:ascii="Arial" w:hAnsi="Arial" w:cs="Arial"/>
                <w:sz w:val="24"/>
                <w:szCs w:val="24"/>
              </w:rPr>
            </w:pPr>
            <w:r w:rsidRPr="00114089">
              <w:rPr>
                <w:rFonts w:ascii="Arial" w:hAnsi="Arial" w:cs="Arial"/>
                <w:noProof/>
                <w:sz w:val="24"/>
                <w:szCs w:val="24"/>
              </w:rPr>
              <w:drawing>
                <wp:inline distT="0" distB="0" distL="0" distR="0" wp14:anchorId="50B8FD59" wp14:editId="63DC2070">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325E9" w:rsidRPr="00D54D03" w:rsidRDefault="005325E9" w:rsidP="005325E9">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Julien </w:t>
            </w:r>
            <w:proofErr w:type="spellStart"/>
            <w:r w:rsidRPr="00D54D03">
              <w:rPr>
                <w:rFonts w:ascii="Arial" w:hAnsi="Arial" w:cs="Arial"/>
                <w:color w:val="6C6361"/>
              </w:rPr>
              <w:t>Chaisse</w:t>
            </w:r>
            <w:proofErr w:type="spellEnd"/>
            <w:r w:rsidRPr="00D54D03">
              <w:rPr>
                <w:rFonts w:ascii="Arial" w:hAnsi="Arial" w:cs="Arial"/>
                <w:color w:val="6C6361"/>
              </w:rPr>
              <w:t xml:space="preserve"> is Professor at The Chinese University of Hong Kong (CUHK), Faculty of Law.  He is an award-winning scholar of international law with a special focus on the regulation and development of economic globalization.  His teaching and research include international trade/investment law, international taxation, law of natural resources, and Internet law. Prior to joining CUHK in 2009, Dr. </w:t>
            </w:r>
            <w:proofErr w:type="spellStart"/>
            <w:r w:rsidRPr="00D54D03">
              <w:rPr>
                <w:rFonts w:ascii="Arial" w:hAnsi="Arial" w:cs="Arial"/>
                <w:color w:val="6C6361"/>
              </w:rPr>
              <w:t>Chaisse</w:t>
            </w:r>
            <w:proofErr w:type="spellEnd"/>
            <w:r w:rsidRPr="00D54D03">
              <w:rPr>
                <w:rFonts w:ascii="Arial" w:hAnsi="Arial" w:cs="Arial"/>
                <w:color w:val="6C6361"/>
              </w:rPr>
              <w:t xml:space="preserve"> was a senior research fellow at the World Trade Institute (Switzerland).  He also held an appointment as lecturer at elite school Sciences Po Aix (France) and served as a diplomat at the Embassy of France in New Delhi (India).</w:t>
            </w:r>
          </w:p>
          <w:p w:rsidR="005325E9" w:rsidRPr="00D54D03" w:rsidRDefault="005325E9" w:rsidP="005325E9">
            <w:pPr>
              <w:pStyle w:val="NormalWeb"/>
              <w:spacing w:before="0" w:beforeAutospacing="0" w:after="0" w:afterAutospacing="0"/>
              <w:jc w:val="both"/>
              <w:rPr>
                <w:rFonts w:ascii="Arial" w:hAnsi="Arial" w:cs="Arial"/>
                <w:color w:val="6C6361"/>
                <w:sz w:val="12"/>
              </w:rPr>
            </w:pPr>
          </w:p>
          <w:p w:rsidR="005325E9" w:rsidRPr="00D54D03" w:rsidRDefault="005325E9" w:rsidP="005325E9">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Dr. </w:t>
            </w:r>
            <w:proofErr w:type="spellStart"/>
            <w:r w:rsidRPr="00D54D03">
              <w:rPr>
                <w:rFonts w:ascii="Arial" w:hAnsi="Arial" w:cs="Arial"/>
                <w:color w:val="6C6361"/>
              </w:rPr>
              <w:t>Chaisse</w:t>
            </w:r>
            <w:proofErr w:type="spellEnd"/>
            <w:r w:rsidRPr="00D54D03">
              <w:rPr>
                <w:rFonts w:ascii="Arial" w:hAnsi="Arial" w:cs="Arial"/>
                <w:color w:val="6C6361"/>
              </w:rPr>
              <w:t xml:space="preserve"> is frequently invited to lecture at many academic institutions and leading universities around the world, including Columbia University (U.S.), University of Oxford (U.K.), Melbourne University (Australia), Tokyo University (Japan), and Tsinghua University (China).  Dr. </w:t>
            </w:r>
            <w:proofErr w:type="spellStart"/>
            <w:r w:rsidRPr="00D54D03">
              <w:rPr>
                <w:rFonts w:ascii="Arial" w:hAnsi="Arial" w:cs="Arial"/>
                <w:color w:val="6C6361"/>
              </w:rPr>
              <w:t>Chaisse</w:t>
            </w:r>
            <w:proofErr w:type="spellEnd"/>
            <w:r w:rsidRPr="00D54D03">
              <w:rPr>
                <w:rFonts w:ascii="Arial" w:hAnsi="Arial" w:cs="Arial"/>
                <w:color w:val="6C6361"/>
              </w:rPr>
              <w:t xml:space="preserve"> has published numerous well-regarded and widely-cited books and articles, such as "The Regulation of Global Water Services Market", Cambridge University Press (2017); "International Economic Law and Governance", Oxford University Press (2016); "Shareholder Protection Reloaded", Stanford Journal of International Law (2016); "Navigating the Expanding Universe of International Treaties on Foreign Investment", Journal of International Economic Law (2015); "Maintaining the WTO's Supremacy in the International Trade Order", Journal of International Economic Law (2013); and "Promises and Pitfalls of the European Union Policy on Foreign Investment", Journal of International Economic Law (2012).</w:t>
            </w:r>
          </w:p>
          <w:p w:rsidR="005325E9" w:rsidRPr="00D54D03" w:rsidRDefault="005325E9" w:rsidP="005325E9">
            <w:pPr>
              <w:pStyle w:val="NormalWeb"/>
              <w:spacing w:before="0" w:beforeAutospacing="0" w:after="0" w:afterAutospacing="0"/>
              <w:jc w:val="both"/>
              <w:rPr>
                <w:rFonts w:ascii="Arial" w:hAnsi="Arial" w:cs="Arial"/>
                <w:color w:val="6C6361"/>
                <w:sz w:val="12"/>
              </w:rPr>
            </w:pPr>
          </w:p>
          <w:p w:rsidR="005325E9" w:rsidRPr="00D54D03" w:rsidRDefault="005325E9" w:rsidP="005325E9">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recognition of his outstanding academic performance, Dr. </w:t>
            </w:r>
            <w:proofErr w:type="spellStart"/>
            <w:r w:rsidRPr="00D54D03">
              <w:rPr>
                <w:rFonts w:ascii="Arial" w:hAnsi="Arial" w:cs="Arial"/>
                <w:color w:val="6C6361"/>
              </w:rPr>
              <w:t>Chaisse</w:t>
            </w:r>
            <w:proofErr w:type="spellEnd"/>
            <w:r w:rsidRPr="00D54D03">
              <w:rPr>
                <w:rFonts w:ascii="Arial" w:hAnsi="Arial" w:cs="Arial"/>
                <w:color w:val="6C6361"/>
              </w:rPr>
              <w:t xml:space="preserve"> received the CUHK Vice-Chancellor's Exemplary Teaching Award in 2015 and the CUHK Research Award in 2012.  Dr. </w:t>
            </w:r>
            <w:proofErr w:type="spellStart"/>
            <w:r w:rsidRPr="00D54D03">
              <w:rPr>
                <w:rFonts w:ascii="Arial" w:hAnsi="Arial" w:cs="Arial"/>
                <w:color w:val="6C6361"/>
              </w:rPr>
              <w:t>Chaisse</w:t>
            </w:r>
            <w:proofErr w:type="spellEnd"/>
            <w:r w:rsidRPr="00D54D03">
              <w:rPr>
                <w:rFonts w:ascii="Arial" w:hAnsi="Arial" w:cs="Arial"/>
                <w:color w:val="6C6361"/>
              </w:rPr>
              <w:t xml:space="preserve"> has held the appointment of Director of the Centre for Financial Regulation and Economic Development at CUHK Law since 2013, and has established forward-looking legal projects and events at CUHK, including the series of "Asia FDI Forum", which has become the most prominent conference on foreign investment regulation in Asia.</w:t>
            </w:r>
          </w:p>
          <w:p w:rsidR="005325E9" w:rsidRPr="00D54D03" w:rsidRDefault="005325E9" w:rsidP="005325E9">
            <w:pPr>
              <w:pStyle w:val="NormalWeb"/>
              <w:spacing w:before="0" w:beforeAutospacing="0" w:after="0" w:afterAutospacing="0"/>
              <w:jc w:val="both"/>
              <w:rPr>
                <w:rFonts w:ascii="Arial" w:hAnsi="Arial" w:cs="Arial"/>
                <w:color w:val="6C6361"/>
                <w:sz w:val="12"/>
              </w:rPr>
            </w:pPr>
          </w:p>
          <w:p w:rsidR="005325E9" w:rsidRPr="00114089" w:rsidRDefault="005325E9" w:rsidP="005325E9">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addition to his professorship, Dr. </w:t>
            </w:r>
            <w:proofErr w:type="spellStart"/>
            <w:r w:rsidRPr="00D54D03">
              <w:rPr>
                <w:rFonts w:ascii="Arial" w:hAnsi="Arial" w:cs="Arial"/>
                <w:color w:val="6C6361"/>
              </w:rPr>
              <w:t>Chaisse</w:t>
            </w:r>
            <w:proofErr w:type="spellEnd"/>
            <w:r w:rsidRPr="00D54D03">
              <w:rPr>
                <w:rFonts w:ascii="Arial" w:hAnsi="Arial" w:cs="Arial"/>
                <w:color w:val="6C6361"/>
              </w:rPr>
              <w:t xml:space="preserve"> is a well-experienced arbitrator and a leading consultant to international organizations, governments, multinational law firms, and private investors.  He is also member of some of the world's foremost organizations, including the World Economic Forum's International Trade and Investment Council and the Internet Corporation for Assigned Names and Numbers (ICANN) in which Dr. </w:t>
            </w:r>
            <w:proofErr w:type="spellStart"/>
            <w:r w:rsidRPr="00D54D03">
              <w:rPr>
                <w:rFonts w:ascii="Arial" w:hAnsi="Arial" w:cs="Arial"/>
                <w:color w:val="6C6361"/>
              </w:rPr>
              <w:t>Chaisse</w:t>
            </w:r>
            <w:proofErr w:type="spellEnd"/>
            <w:r w:rsidRPr="00D54D03">
              <w:rPr>
                <w:rFonts w:ascii="Arial" w:hAnsi="Arial" w:cs="Arial"/>
                <w:color w:val="6C6361"/>
              </w:rPr>
              <w:t xml:space="preserve"> serves on the Working Group on </w:t>
            </w:r>
            <w:proofErr w:type="spellStart"/>
            <w:r w:rsidRPr="00D54D03">
              <w:rPr>
                <w:rFonts w:ascii="Arial" w:hAnsi="Arial" w:cs="Arial"/>
                <w:color w:val="6C6361"/>
              </w:rPr>
              <w:t>gTLDs</w:t>
            </w:r>
            <w:proofErr w:type="spellEnd"/>
            <w:r w:rsidRPr="00D54D03">
              <w:rPr>
                <w:rFonts w:ascii="Arial" w:hAnsi="Arial" w:cs="Arial"/>
                <w:color w:val="6C6361"/>
              </w:rPr>
              <w:t>' rights protection mechanisms review and the Accountability and Transparency Review program.</w:t>
            </w:r>
          </w:p>
        </w:tc>
      </w:tr>
    </w:tbl>
    <w:p w:rsidR="005325E9" w:rsidRPr="005325E9" w:rsidRDefault="005325E9" w:rsidP="005325E9">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5325E9" w:rsidRPr="00390282" w:rsidTr="00692B62">
        <w:trPr>
          <w:trHeight w:val="454"/>
          <w:jc w:val="center"/>
        </w:trPr>
        <w:tc>
          <w:tcPr>
            <w:tcW w:w="10773" w:type="dxa"/>
            <w:tcBorders>
              <w:top w:val="nil"/>
              <w:bottom w:val="nil"/>
            </w:tcBorders>
            <w:shd w:val="clear" w:color="auto" w:fill="F0EBE1"/>
            <w:vAlign w:val="center"/>
          </w:tcPr>
          <w:p w:rsidR="005325E9" w:rsidRPr="00390282" w:rsidRDefault="005325E9" w:rsidP="00692B62">
            <w:pPr>
              <w:jc w:val="center"/>
              <w:rPr>
                <w:rFonts w:ascii="Arial" w:hAnsi="Arial" w:cs="Arial"/>
                <w:b/>
                <w:color w:val="524B48"/>
                <w:sz w:val="24"/>
                <w:szCs w:val="24"/>
              </w:rPr>
            </w:pPr>
            <w:r>
              <w:rPr>
                <w:rFonts w:ascii="Arial" w:hAnsi="Arial" w:cs="Arial"/>
                <w:b/>
                <w:color w:val="524B48"/>
                <w:sz w:val="24"/>
                <w:szCs w:val="24"/>
              </w:rPr>
              <w:lastRenderedPageBreak/>
              <w:t>Course Objective:</w:t>
            </w:r>
          </w:p>
        </w:tc>
      </w:tr>
      <w:tr w:rsidR="005325E9" w:rsidRPr="00390282" w:rsidTr="00692B62">
        <w:trPr>
          <w:trHeight w:val="4088"/>
          <w:jc w:val="center"/>
        </w:trPr>
        <w:tc>
          <w:tcPr>
            <w:tcW w:w="10773" w:type="dxa"/>
            <w:tcBorders>
              <w:top w:val="nil"/>
              <w:bottom w:val="nil"/>
            </w:tcBorders>
            <w:shd w:val="clear" w:color="auto" w:fill="FFFFFF"/>
            <w:vAlign w:val="center"/>
          </w:tcPr>
          <w:p w:rsidR="005325E9" w:rsidRPr="005B0330" w:rsidRDefault="005325E9" w:rsidP="00692B62">
            <w:pPr>
              <w:rPr>
                <w:rFonts w:ascii="Arial" w:hAnsi="Arial" w:cs="Arial"/>
                <w:color w:val="6C6361"/>
                <w:sz w:val="24"/>
                <w:szCs w:val="24"/>
              </w:rPr>
            </w:pPr>
            <w:r w:rsidRPr="005B0330">
              <w:rPr>
                <w:rFonts w:ascii="Arial" w:hAnsi="Arial" w:cs="Arial"/>
                <w:color w:val="6C6361"/>
                <w:sz w:val="24"/>
                <w:szCs w:val="24"/>
              </w:rPr>
              <w:t>The recent development of international investment protection law is remarkable and international investment law is emerging as a distinct and important field of international law.  There has been a dramatic increase in the number of bilateral investment treaties and other agreements with investment related provisions.  There has also been a sharp increase in the number of disputes between foreign investors and host governments.</w:t>
            </w:r>
          </w:p>
          <w:p w:rsidR="005325E9" w:rsidRPr="005B0330" w:rsidRDefault="005325E9" w:rsidP="00692B62">
            <w:pPr>
              <w:rPr>
                <w:rFonts w:ascii="Arial" w:hAnsi="Arial" w:cs="Arial"/>
                <w:color w:val="6C6361"/>
                <w:sz w:val="12"/>
                <w:szCs w:val="24"/>
              </w:rPr>
            </w:pPr>
          </w:p>
          <w:p w:rsidR="005325E9" w:rsidRPr="005B0330" w:rsidRDefault="005325E9" w:rsidP="00692B62">
            <w:pPr>
              <w:rPr>
                <w:rFonts w:ascii="Arial" w:hAnsi="Arial" w:cs="Arial"/>
                <w:color w:val="6C6361"/>
                <w:sz w:val="24"/>
                <w:szCs w:val="24"/>
              </w:rPr>
            </w:pPr>
            <w:r w:rsidRPr="005B0330">
              <w:rPr>
                <w:rFonts w:ascii="Arial" w:hAnsi="Arial" w:cs="Arial"/>
                <w:color w:val="6C6361"/>
                <w:sz w:val="24"/>
                <w:szCs w:val="24"/>
              </w:rPr>
              <w:t>This course aims to introduce the participants to the public international law standards for the treatment of foreign investments and the resolution of investment related disputes with particular reference to Hon</w:t>
            </w:r>
            <w:r>
              <w:rPr>
                <w:rFonts w:ascii="Arial" w:hAnsi="Arial" w:cs="Arial"/>
                <w:color w:val="6C6361"/>
                <w:sz w:val="24"/>
                <w:szCs w:val="24"/>
              </w:rPr>
              <w:t>g Kong SAR</w:t>
            </w:r>
            <w:r w:rsidRPr="005B0330">
              <w:rPr>
                <w:rFonts w:ascii="Arial" w:hAnsi="Arial" w:cs="Arial"/>
                <w:color w:val="6C6361"/>
                <w:sz w:val="24"/>
                <w:szCs w:val="24"/>
              </w:rPr>
              <w:t xml:space="preserve"> in the context of the Belt and Road Initiative (BRI).</w:t>
            </w:r>
          </w:p>
          <w:p w:rsidR="005325E9" w:rsidRPr="005B0330" w:rsidRDefault="005325E9" w:rsidP="00692B62">
            <w:pPr>
              <w:rPr>
                <w:rFonts w:ascii="Arial" w:hAnsi="Arial" w:cs="Arial"/>
                <w:color w:val="6C6361"/>
                <w:sz w:val="12"/>
                <w:szCs w:val="24"/>
              </w:rPr>
            </w:pPr>
          </w:p>
          <w:p w:rsidR="005325E9" w:rsidRPr="00E133D5" w:rsidRDefault="005325E9" w:rsidP="00692B62">
            <w:pPr>
              <w:rPr>
                <w:rFonts w:ascii="Arial" w:hAnsi="Arial" w:cs="Arial"/>
                <w:color w:val="6C6361"/>
                <w:sz w:val="24"/>
                <w:szCs w:val="24"/>
              </w:rPr>
            </w:pPr>
            <w:r w:rsidRPr="005B0330">
              <w:rPr>
                <w:rFonts w:ascii="Arial" w:hAnsi="Arial" w:cs="Arial"/>
                <w:color w:val="6C6361"/>
                <w:sz w:val="24"/>
                <w:szCs w:val="24"/>
              </w:rPr>
              <w:t>Participants will gain a thorough understanding of the theory and practice of international investment law and dispute settlement principles and practice, through lectures, case study, in-class discussions and group presentations.  This course will examine the substantive law governing international investment, the resolution of investment disputes and the growing role of investment law in the international legal system.</w:t>
            </w:r>
          </w:p>
        </w:tc>
      </w:tr>
    </w:tbl>
    <w:p w:rsidR="005325E9" w:rsidRDefault="005325E9" w:rsidP="005325E9">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5325E9" w:rsidRPr="00390282" w:rsidTr="00692B62">
        <w:trPr>
          <w:trHeight w:val="454"/>
          <w:jc w:val="center"/>
        </w:trPr>
        <w:tc>
          <w:tcPr>
            <w:tcW w:w="10773" w:type="dxa"/>
            <w:tcBorders>
              <w:top w:val="nil"/>
              <w:bottom w:val="nil"/>
            </w:tcBorders>
            <w:shd w:val="clear" w:color="auto" w:fill="FFFFFF" w:themeFill="background1"/>
            <w:vAlign w:val="center"/>
          </w:tcPr>
          <w:p w:rsidR="005325E9" w:rsidRPr="00A3664C" w:rsidRDefault="005325E9" w:rsidP="00692B62">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5325E9" w:rsidRPr="00390282" w:rsidTr="00692B62">
        <w:trPr>
          <w:trHeight w:val="454"/>
          <w:jc w:val="center"/>
        </w:trPr>
        <w:tc>
          <w:tcPr>
            <w:tcW w:w="10773" w:type="dxa"/>
            <w:tcBorders>
              <w:top w:val="nil"/>
              <w:bottom w:val="nil"/>
            </w:tcBorders>
            <w:shd w:val="clear" w:color="auto" w:fill="F0EBE1"/>
            <w:vAlign w:val="center"/>
          </w:tcPr>
          <w:p w:rsidR="005325E9" w:rsidRPr="00390282" w:rsidRDefault="005325E9" w:rsidP="00692B62">
            <w:pPr>
              <w:rPr>
                <w:rFonts w:ascii="Arial" w:hAnsi="Arial" w:cs="Arial"/>
                <w:b/>
                <w:color w:val="524B48"/>
                <w:sz w:val="24"/>
                <w:szCs w:val="24"/>
              </w:rPr>
            </w:pPr>
            <w:r w:rsidRPr="008858BB">
              <w:rPr>
                <w:rFonts w:ascii="Arial" w:hAnsi="Arial" w:cs="Arial"/>
                <w:b/>
                <w:color w:val="524B48"/>
                <w:sz w:val="24"/>
                <w:szCs w:val="24"/>
              </w:rPr>
              <w:t>In this course you will have an opportunity to explore recent developments of key issues such as:</w:t>
            </w:r>
          </w:p>
        </w:tc>
      </w:tr>
      <w:tr w:rsidR="005325E9" w:rsidRPr="00390282" w:rsidTr="00692B62">
        <w:trPr>
          <w:trHeight w:val="5229"/>
          <w:jc w:val="center"/>
        </w:trPr>
        <w:tc>
          <w:tcPr>
            <w:tcW w:w="10773" w:type="dxa"/>
            <w:tcBorders>
              <w:top w:val="nil"/>
              <w:bottom w:val="nil"/>
            </w:tcBorders>
            <w:shd w:val="clear" w:color="auto" w:fill="FFFFFF"/>
            <w:vAlign w:val="center"/>
          </w:tcPr>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Discuss the theories that support encouraging foreign direct investment</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Discuss the costs and benefits of foreign investment to the investor, the host country, and the investor’s home country</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Present the idea of the "obsolescing bargain"</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Introduce the sources of international investment law</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Consider the role that law plays in encouraging or discouraging the making of foreign investments</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Discuss the tensions that arise given that multinational enterprises seek to promote their own global interests while governments seek to maximize national welfare</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Identify the concerns of home countries about the foreign investments made by their nationals</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Distinguish between different types of investment and the different kinds of guarantees a state might offer to attract them</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noProof/>
                <w:color w:val="6C6361"/>
                <w:sz w:val="24"/>
                <w:szCs w:val="24"/>
              </w:rPr>
              <w:drawing>
                <wp:anchor distT="0" distB="0" distL="114300" distR="114300" simplePos="0" relativeHeight="251659264" behindDoc="0" locked="0" layoutInCell="1" allowOverlap="1" wp14:anchorId="0ED5521D" wp14:editId="28BBEBD1">
                  <wp:simplePos x="0" y="0"/>
                  <wp:positionH relativeFrom="column">
                    <wp:posOffset>5753100</wp:posOffset>
                  </wp:positionH>
                  <wp:positionV relativeFrom="paragraph">
                    <wp:posOffset>155575</wp:posOffset>
                  </wp:positionV>
                  <wp:extent cx="892175" cy="101854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8BB">
              <w:rPr>
                <w:rFonts w:ascii="Arial" w:hAnsi="Arial" w:cs="Arial"/>
                <w:color w:val="6C6361"/>
                <w:sz w:val="24"/>
                <w:szCs w:val="24"/>
              </w:rPr>
              <w:t>Identify the issues a country should consider when deciding whether or not to enter into an investment agreement</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Discuss policies, such as performance requirements, that might lead to sustainable development</w:t>
            </w:r>
          </w:p>
          <w:p w:rsidR="005325E9" w:rsidRPr="008858BB"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Identify and consider the factors that investors consider when deciding whether or not to invest in a particular state</w:t>
            </w:r>
          </w:p>
          <w:p w:rsidR="005325E9" w:rsidRPr="00507F54" w:rsidRDefault="005325E9" w:rsidP="00692B62">
            <w:pPr>
              <w:pStyle w:val="ListParagraph"/>
              <w:numPr>
                <w:ilvl w:val="0"/>
                <w:numId w:val="2"/>
              </w:numPr>
              <w:rPr>
                <w:rFonts w:ascii="Arial" w:hAnsi="Arial" w:cs="Arial"/>
                <w:color w:val="6C6361"/>
                <w:sz w:val="24"/>
                <w:szCs w:val="24"/>
              </w:rPr>
            </w:pPr>
            <w:r w:rsidRPr="008858BB">
              <w:rPr>
                <w:rFonts w:ascii="Arial" w:hAnsi="Arial" w:cs="Arial"/>
                <w:color w:val="6C6361"/>
                <w:sz w:val="24"/>
                <w:szCs w:val="24"/>
              </w:rPr>
              <w:t>Consider when conduct should be attributed to the state</w:t>
            </w:r>
          </w:p>
        </w:tc>
      </w:tr>
    </w:tbl>
    <w:p w:rsidR="00334B93" w:rsidRDefault="00334B93" w:rsidP="00334B9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2863"/>
        <w:gridCol w:w="794"/>
        <w:gridCol w:w="1699"/>
        <w:gridCol w:w="2491"/>
        <w:gridCol w:w="1239"/>
      </w:tblGrid>
      <w:tr w:rsidR="005325E9" w:rsidRPr="00320F79" w:rsidTr="005325E9">
        <w:trPr>
          <w:trHeight w:val="397"/>
          <w:jc w:val="center"/>
        </w:trPr>
        <w:tc>
          <w:tcPr>
            <w:tcW w:w="1686" w:type="dxa"/>
            <w:tcBorders>
              <w:top w:val="nil"/>
              <w:left w:val="nil"/>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gridSpan w:val="2"/>
            <w:tcBorders>
              <w:top w:val="nil"/>
              <w:bottom w:val="single" w:sz="12" w:space="0" w:color="F0EBE1"/>
            </w:tcBorders>
            <w:shd w:val="clear" w:color="auto" w:fill="FFFFFF"/>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EVT000000257</w:t>
            </w:r>
          </w:p>
        </w:tc>
        <w:tc>
          <w:tcPr>
            <w:tcW w:w="1699" w:type="dxa"/>
            <w:tcBorders>
              <w:top w:val="nil"/>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5325E9"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gridSpan w:val="2"/>
            <w:tcBorders>
              <w:top w:val="single" w:sz="12" w:space="0" w:color="F0EBE1"/>
              <w:bottom w:val="single" w:sz="12" w:space="0" w:color="F0EBE1"/>
            </w:tcBorders>
            <w:shd w:val="clear" w:color="auto" w:fill="FFFFFF"/>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5B0330">
              <w:rPr>
                <w:rFonts w:ascii="Arial" w:hAnsi="Arial" w:cs="Arial"/>
                <w:b/>
                <w:color w:val="6C6361"/>
                <w:sz w:val="20"/>
                <w:szCs w:val="20"/>
              </w:rPr>
              <w:t>2 October 2018 (Tuesday)</w:t>
            </w:r>
          </w:p>
        </w:tc>
        <w:tc>
          <w:tcPr>
            <w:tcW w:w="1699" w:type="dxa"/>
            <w:tcBorders>
              <w:top w:val="single" w:sz="12" w:space="0" w:color="FFFFFF"/>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5325E9"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gridSpan w:val="2"/>
            <w:tcBorders>
              <w:top w:val="single" w:sz="12" w:space="0" w:color="F0EBE1"/>
              <w:bottom w:val="single" w:sz="12" w:space="0" w:color="F0EBE1"/>
            </w:tcBorders>
            <w:shd w:val="clear" w:color="auto" w:fill="FFFFFF"/>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rsidR="005325E9" w:rsidRPr="00320F7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rsidR="005325E9"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 xml:space="preserve">LSHK </w:t>
            </w:r>
            <w:r>
              <w:rPr>
                <w:rFonts w:ascii="Arial" w:hAnsi="Arial" w:cs="Arial"/>
                <w:b/>
                <w:color w:val="6C6361"/>
                <w:sz w:val="20"/>
                <w:szCs w:val="20"/>
              </w:rPr>
              <w:t xml:space="preserve">3.0 </w:t>
            </w:r>
            <w:r w:rsidRPr="00D54D03">
              <w:rPr>
                <w:rFonts w:ascii="Arial" w:hAnsi="Arial" w:cs="Arial"/>
                <w:b/>
                <w:color w:val="6C6361"/>
                <w:sz w:val="20"/>
                <w:szCs w:val="20"/>
              </w:rPr>
              <w:t>CPD Points</w:t>
            </w:r>
          </w:p>
          <w:p w:rsidR="005325E9" w:rsidRPr="00B745DB" w:rsidRDefault="005325E9" w:rsidP="00532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34B93" w:rsidRPr="00320F79" w:rsidTr="005325E9">
        <w:trPr>
          <w:trHeight w:val="1247"/>
          <w:jc w:val="center"/>
        </w:trPr>
        <w:tc>
          <w:tcPr>
            <w:tcW w:w="1686" w:type="dxa"/>
            <w:tcBorders>
              <w:top w:val="single" w:sz="12" w:space="0" w:color="FFFFFF"/>
              <w:left w:val="nil"/>
              <w:bottom w:val="nil"/>
            </w:tcBorders>
            <w:shd w:val="clear" w:color="auto" w:fill="F0EBE1"/>
            <w:vAlign w:val="center"/>
          </w:tcPr>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63" w:type="dxa"/>
            <w:tcBorders>
              <w:top w:val="single" w:sz="12" w:space="0" w:color="F0EBE1"/>
              <w:bottom w:val="nil"/>
              <w:right w:val="nil"/>
            </w:tcBorders>
            <w:shd w:val="clear" w:color="auto" w:fill="FFFFFF"/>
            <w:vAlign w:val="center"/>
          </w:tcPr>
          <w:p w:rsidR="00334B93" w:rsidRPr="00320F79" w:rsidRDefault="00334B93" w:rsidP="00525B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4B93" w:rsidRDefault="00334B93" w:rsidP="00525B8F">
            <w:pPr>
              <w:jc w:val="right"/>
              <w:rPr>
                <w:rFonts w:ascii="Arial" w:hAnsi="Arial" w:cs="Arial"/>
                <w:b/>
                <w:color w:val="6C6361"/>
                <w:sz w:val="20"/>
                <w:szCs w:val="20"/>
              </w:rPr>
            </w:pPr>
          </w:p>
          <w:p w:rsidR="00334B93" w:rsidRDefault="00334B93" w:rsidP="00525B8F">
            <w:pPr>
              <w:jc w:val="right"/>
              <w:rPr>
                <w:rFonts w:ascii="Arial" w:hAnsi="Arial" w:cs="Arial"/>
                <w:b/>
                <w:color w:val="6C6361"/>
                <w:sz w:val="20"/>
                <w:szCs w:val="20"/>
              </w:rPr>
            </w:pPr>
          </w:p>
          <w:p w:rsidR="00334B93" w:rsidRPr="00320F79" w:rsidRDefault="00334B93" w:rsidP="00525B8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D72B754" wp14:editId="44EFFAD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4B93" w:rsidRPr="00E2201B" w:rsidRDefault="00334B93" w:rsidP="00525B8F">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34B93" w:rsidRPr="00156567"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577D8F6" wp14:editId="21CB25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325E9" w:rsidRDefault="00214BC6" w:rsidP="00334B93">
      <w:pPr>
        <w:rPr>
          <w:sz w:val="2"/>
          <w:szCs w:val="2"/>
        </w:rPr>
      </w:pPr>
    </w:p>
    <w:sectPr w:rsidR="00214BC6" w:rsidRPr="005325E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61C" w:rsidRDefault="00C9361C" w:rsidP="00546556">
      <w:r>
        <w:separator/>
      </w:r>
    </w:p>
  </w:endnote>
  <w:endnote w:type="continuationSeparator" w:id="0">
    <w:p w:rsidR="00C9361C" w:rsidRDefault="00C9361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61C" w:rsidRDefault="00C9361C" w:rsidP="00546556">
      <w:r>
        <w:separator/>
      </w:r>
    </w:p>
  </w:footnote>
  <w:footnote w:type="continuationSeparator" w:id="0">
    <w:p w:rsidR="00C9361C" w:rsidRDefault="00C9361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BbSq3VwkUtjueeGoNo/lV/te9VkVT4OPJJlz2Ub1mq3bSnCrxR+j1JuXi3qmd/VB/JzCYG0jCwV3vwLnF5c01g==" w:salt="aUJdHsUTDeJzphnrLBKeu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865C-BC35-44A9-9A6A-6584B403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CPD Course: Internet Domain Names Disputes: Principles and Practice</vt:lpstr>
    </vt:vector>
  </TitlesOfParts>
  <Manager>Tyrone Tsang</Manager>
  <Company>The Profectional Company Limited</Company>
  <LinksUpToDate>false</LinksUpToDate>
  <CharactersWithSpaces>5863</CharactersWithSpaces>
  <SharedDoc>false</SharedDoc>
  <HyperlinkBase>http://download.profectional.com/events/EVT000000257.docx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Hong Kong’s International Rules on Foreign Investment: Issues and Opportunities for the Belt and Road</dc:title>
  <dc:subject>CPD Course, CPT Course: Hong Kong’s International Rules on Foreign Investment: Issues and Opportunities for the Belt and Road</dc:subject>
  <dc:creator>The Profectional Company Limited</dc:creator>
  <cp:keywords>Profectional; Kornerstone; CPD; CPT; CLE; CE; RME; Julien Chaisse; Professor; The Chinese University of Hong Kong</cp:keywords>
  <cp:lastModifiedBy>Tyrone Tsang</cp:lastModifiedBy>
  <cp:revision>16</cp:revision>
  <cp:lastPrinted>2018-10-02T03:39:00Z</cp:lastPrinted>
  <dcterms:created xsi:type="dcterms:W3CDTF">2015-08-21T08:33:00Z</dcterms:created>
  <dcterms:modified xsi:type="dcterms:W3CDTF">2018-10-02T03:39:00Z</dcterms:modified>
</cp:coreProperties>
</file>