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859" w:rsidRPr="00062859" w:rsidRDefault="00062859" w:rsidP="00062859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062859" w:rsidRPr="00523A64" w:rsidTr="0011569D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062859" w:rsidRPr="001A3018" w:rsidRDefault="00062859" w:rsidP="0011569D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062859" w:rsidRDefault="00062859" w:rsidP="0011569D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hyperlink r:id="rId8" w:history="1">
              <w:r>
                <w:rPr>
                  <w:rStyle w:val="Hyperlink"/>
                  <w:rFonts w:ascii="Arial" w:hAnsi="Arial" w:cs="Arial"/>
                  <w:b/>
                  <w:bCs/>
                  <w:color w:val="524B48"/>
                  <w:sz w:val="32"/>
                  <w:szCs w:val="32"/>
                  <w:u w:val="none"/>
                </w:rPr>
                <w:t>Listed Companies</w:t>
              </w:r>
            </w:hyperlink>
          </w:p>
          <w:p w:rsidR="00062859" w:rsidRPr="00C65AFD" w:rsidRDefault="00062859" w:rsidP="0011569D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062859" w:rsidRPr="00C65AFD" w:rsidRDefault="00062859" w:rsidP="0011569D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062859" w:rsidRPr="00C65AFD" w:rsidRDefault="00062859" w:rsidP="0011569D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9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r. </w:t>
              </w:r>
              <w:proofErr w:type="spellStart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Clemence</w:t>
              </w:r>
              <w:proofErr w:type="spellEnd"/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 xml:space="preserve"> Yeung</w:t>
              </w:r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:rsidR="00062859" w:rsidRPr="00AD645C" w:rsidRDefault="00062859" w:rsidP="0011569D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</w:t>
            </w:r>
          </w:p>
        </w:tc>
        <w:tc>
          <w:tcPr>
            <w:tcW w:w="5954" w:type="dxa"/>
            <w:shd w:val="clear" w:color="auto" w:fill="FFFFFF"/>
            <w:vAlign w:val="center"/>
          </w:tcPr>
          <w:p w:rsidR="00062859" w:rsidRPr="00D50772" w:rsidRDefault="00062859" w:rsidP="0011569D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2400A6">
              <w:rPr>
                <w:rFonts w:ascii="Arial" w:hAnsi="Arial" w:cs="Arial"/>
                <w:noProof/>
                <w:color w:val="6C6361"/>
              </w:rPr>
              <w:drawing>
                <wp:anchor distT="0" distB="0" distL="114300" distR="114300" simplePos="0" relativeHeight="251659264" behindDoc="0" locked="0" layoutInCell="1" allowOverlap="1" wp14:anchorId="3A88CF84" wp14:editId="2D8DCD60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-60960</wp:posOffset>
                  </wp:positionV>
                  <wp:extent cx="535940" cy="546735"/>
                  <wp:effectExtent l="0" t="0" r="0" b="5715"/>
                  <wp:wrapNone/>
                  <wp:docPr id="9" name="Picture 9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340CAE39" wp14:editId="65848C15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859" w:rsidRPr="00FE3488" w:rsidRDefault="00062859" w:rsidP="00062859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062859" w:rsidRPr="00895F3B" w:rsidTr="0011569D">
        <w:trPr>
          <w:trHeight w:val="2571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062859" w:rsidRPr="00895F3B" w:rsidRDefault="00062859" w:rsidP="0011569D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28FEF77E" wp14:editId="58696BE6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062859" w:rsidRPr="005B38D5" w:rsidRDefault="00062859" w:rsidP="00062859">
            <w:pPr>
              <w:pStyle w:val="NormalWeb"/>
              <w:jc w:val="both"/>
              <w:rPr>
                <w:rFonts w:ascii="Arial" w:hAnsi="Arial" w:cs="Arial"/>
                <w:color w:val="6C6361"/>
              </w:rPr>
            </w:pPr>
            <w:r w:rsidRPr="00E82C38">
              <w:rPr>
                <w:rFonts w:ascii="Arial" w:hAnsi="Arial" w:cs="Arial"/>
                <w:color w:val="6C6361"/>
              </w:rPr>
              <w:t xml:space="preserve">Mr. Yeung was called to the Bar in 1997. 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E82C38">
              <w:rPr>
                <w:rFonts w:ascii="Arial" w:hAnsi="Arial" w:cs="Arial"/>
                <w:color w:val="6C6361"/>
              </w:rPr>
              <w:t>Pri</w:t>
            </w:r>
            <w:r>
              <w:rPr>
                <w:rFonts w:ascii="Arial" w:hAnsi="Arial" w:cs="Arial"/>
                <w:color w:val="6C6361"/>
              </w:rPr>
              <w:t xml:space="preserve">or to that he was admitted as a </w:t>
            </w:r>
            <w:r w:rsidRPr="00E82C38">
              <w:rPr>
                <w:rFonts w:ascii="Arial" w:hAnsi="Arial" w:cs="Arial"/>
                <w:color w:val="6C6361"/>
              </w:rPr>
              <w:t>solicitor in England and Wales and in Hong Ko</w:t>
            </w:r>
            <w:r>
              <w:rPr>
                <w:rFonts w:ascii="Arial" w:hAnsi="Arial" w:cs="Arial"/>
                <w:color w:val="6C6361"/>
              </w:rPr>
              <w:t xml:space="preserve">ng and </w:t>
            </w:r>
            <w:proofErr w:type="spellStart"/>
            <w:r>
              <w:rPr>
                <w:rFonts w:ascii="Arial" w:hAnsi="Arial" w:cs="Arial"/>
                <w:color w:val="6C6361"/>
              </w:rPr>
              <w:t>practised</w:t>
            </w:r>
            <w:proofErr w:type="spellEnd"/>
            <w:r>
              <w:rPr>
                <w:rFonts w:ascii="Arial" w:hAnsi="Arial" w:cs="Arial"/>
                <w:color w:val="6C6361"/>
              </w:rPr>
              <w:t xml:space="preserve"> as a solicitor </w:t>
            </w:r>
            <w:r w:rsidRPr="00E82C38">
              <w:rPr>
                <w:rFonts w:ascii="Arial" w:hAnsi="Arial" w:cs="Arial"/>
                <w:color w:val="6C6361"/>
              </w:rPr>
              <w:t xml:space="preserve">in the litigation department of an international firm. </w:t>
            </w:r>
            <w:r>
              <w:rPr>
                <w:rFonts w:ascii="Arial" w:hAnsi="Arial" w:cs="Arial"/>
                <w:color w:val="6C6361"/>
              </w:rPr>
              <w:t xml:space="preserve"> He was a contributor </w:t>
            </w:r>
            <w:r w:rsidRPr="00E82C38">
              <w:rPr>
                <w:rFonts w:ascii="Arial" w:hAnsi="Arial" w:cs="Arial"/>
                <w:color w:val="6C6361"/>
              </w:rPr>
              <w:t xml:space="preserve">to </w:t>
            </w:r>
            <w:proofErr w:type="spellStart"/>
            <w:r w:rsidRPr="00E82C38">
              <w:rPr>
                <w:rFonts w:ascii="Arial" w:hAnsi="Arial" w:cs="Arial"/>
                <w:color w:val="6C6361"/>
              </w:rPr>
              <w:t>Halsbury's</w:t>
            </w:r>
            <w:proofErr w:type="spellEnd"/>
            <w:r w:rsidRPr="00E82C38">
              <w:rPr>
                <w:rFonts w:ascii="Arial" w:hAnsi="Arial" w:cs="Arial"/>
                <w:color w:val="6C6361"/>
              </w:rPr>
              <w:t xml:space="preserve"> Laws of Hong Kong Volume 18(1) </w:t>
            </w:r>
            <w:r>
              <w:rPr>
                <w:rFonts w:ascii="Arial" w:hAnsi="Arial" w:cs="Arial"/>
                <w:color w:val="6C6361"/>
              </w:rPr>
              <w:t>Maritime Law (</w:t>
            </w:r>
            <w:proofErr w:type="spellStart"/>
            <w:r>
              <w:rPr>
                <w:rFonts w:ascii="Arial" w:hAnsi="Arial" w:cs="Arial"/>
                <w:color w:val="6C6361"/>
              </w:rPr>
              <w:t>Butterworths</w:t>
            </w:r>
            <w:proofErr w:type="spellEnd"/>
            <w:r>
              <w:rPr>
                <w:rFonts w:ascii="Arial" w:hAnsi="Arial" w:cs="Arial"/>
                <w:color w:val="6C6361"/>
              </w:rPr>
              <w:t xml:space="preserve">) and </w:t>
            </w:r>
            <w:r w:rsidRPr="00E82C38">
              <w:rPr>
                <w:rFonts w:ascii="Arial" w:hAnsi="Arial" w:cs="Arial"/>
                <w:color w:val="6C6361"/>
              </w:rPr>
              <w:t xml:space="preserve">has authored a book on the law of </w:t>
            </w:r>
            <w:r>
              <w:rPr>
                <w:rFonts w:ascii="Arial" w:hAnsi="Arial" w:cs="Arial"/>
                <w:color w:val="6C6361"/>
              </w:rPr>
              <w:t xml:space="preserve">unjust enrichment in Hong Kong. </w:t>
            </w:r>
          </w:p>
        </w:tc>
      </w:tr>
    </w:tbl>
    <w:p w:rsidR="00062859" w:rsidRDefault="00062859" w:rsidP="00062859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062859" w:rsidRPr="00FE3488" w:rsidTr="0011569D">
        <w:trPr>
          <w:trHeight w:val="113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062859" w:rsidRPr="00AE5D88" w:rsidRDefault="00062859" w:rsidP="0011569D">
            <w:p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AE5D88">
              <w:rPr>
                <w:rFonts w:ascii="Arial" w:hAnsi="Arial" w:cs="Arial"/>
                <w:color w:val="6C6361"/>
                <w:sz w:val="24"/>
                <w:szCs w:val="20"/>
              </w:rPr>
              <w:t>This talk focuses on three key areas relevant to practitioners advising on matters concerned with listed companies: scheme of arrangement (</w:t>
            </w:r>
            <w:proofErr w:type="spellStart"/>
            <w:r w:rsidRPr="00AE5D88">
              <w:rPr>
                <w:rFonts w:ascii="Arial" w:hAnsi="Arial" w:cs="Arial"/>
                <w:color w:val="6C6361"/>
                <w:sz w:val="24"/>
                <w:szCs w:val="20"/>
              </w:rPr>
              <w:t>privatisation</w:t>
            </w:r>
            <w:proofErr w:type="spellEnd"/>
            <w:r w:rsidRPr="00AE5D88">
              <w:rPr>
                <w:rFonts w:ascii="Arial" w:hAnsi="Arial" w:cs="Arial"/>
                <w:color w:val="6C6361"/>
                <w:sz w:val="24"/>
                <w:szCs w:val="20"/>
              </w:rPr>
              <w:t>), the consultation paper on backdoor listing (with update if conclusions on the consultation are published before May 2019) and market misconduct.</w:t>
            </w:r>
          </w:p>
        </w:tc>
      </w:tr>
      <w:tr w:rsidR="00062859" w:rsidRPr="00FE3488" w:rsidTr="0011569D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062859" w:rsidRPr="00FE3488" w:rsidRDefault="00062859" w:rsidP="0011569D">
            <w:pPr>
              <w:spacing w:line="276" w:lineRule="auto"/>
              <w:rPr>
                <w:rFonts w:ascii="Arial" w:hAnsi="Arial" w:cs="Arial"/>
                <w:b/>
                <w:color w:val="524B48"/>
                <w:sz w:val="24"/>
                <w:szCs w:val="20"/>
              </w:rPr>
            </w:pPr>
            <w:r w:rsidRPr="00891EAA">
              <w:rPr>
                <w:rFonts w:ascii="Arial" w:hAnsi="Arial" w:cs="Arial"/>
                <w:b/>
                <w:color w:val="524B48"/>
                <w:sz w:val="24"/>
                <w:szCs w:val="20"/>
              </w:rPr>
              <w:t>Recent cases and other relevant materials to be considered include:</w:t>
            </w:r>
          </w:p>
        </w:tc>
      </w:tr>
      <w:tr w:rsidR="00062859" w:rsidRPr="00FE3488" w:rsidTr="0011569D">
        <w:trPr>
          <w:trHeight w:val="579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062859" w:rsidRDefault="00062859" w:rsidP="0011569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color w:val="6C6361"/>
                <w:sz w:val="24"/>
                <w:szCs w:val="20"/>
              </w:rPr>
            </w:pPr>
            <w:r w:rsidRPr="005E77C2">
              <w:rPr>
                <w:rFonts w:ascii="Arial" w:hAnsi="Arial" w:cs="Arial"/>
                <w:b/>
                <w:noProof/>
                <w:color w:val="6C6361"/>
                <w:sz w:val="24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5F5D2933" wp14:editId="140270C8">
                  <wp:simplePos x="0" y="0"/>
                  <wp:positionH relativeFrom="column">
                    <wp:posOffset>5741670</wp:posOffset>
                  </wp:positionH>
                  <wp:positionV relativeFrom="paragraph">
                    <wp:posOffset>155575</wp:posOffset>
                  </wp:positionV>
                  <wp:extent cx="895985" cy="1022350"/>
                  <wp:effectExtent l="0" t="0" r="0" b="635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color w:val="6C6361"/>
                <w:sz w:val="24"/>
                <w:szCs w:val="20"/>
              </w:rPr>
              <w:t>Scheme of arrangement</w:t>
            </w:r>
          </w:p>
          <w:p w:rsidR="00062859" w:rsidRPr="00891EAA" w:rsidRDefault="00062859" w:rsidP="0011569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An Overview </w:t>
            </w:r>
          </w:p>
          <w:p w:rsidR="00062859" w:rsidRPr="00891EAA" w:rsidRDefault="00062859" w:rsidP="0011569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Recent Cases</w:t>
            </w:r>
          </w:p>
          <w:p w:rsidR="00062859" w:rsidRPr="00891EAA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Re </w:t>
            </w:r>
            <w:proofErr w:type="spellStart"/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Enice</w:t>
            </w:r>
            <w:proofErr w:type="spellEnd"/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Holdings Co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Ltd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[2018] HKCU 2694</w:t>
            </w:r>
          </w:p>
          <w:p w:rsidR="00062859" w:rsidRPr="00891EAA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Re China Assets (Holdings) Ltd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[2017] HKCU 3119</w:t>
            </w:r>
          </w:p>
          <w:p w:rsidR="00062859" w:rsidRDefault="00062859" w:rsidP="0011569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color w:val="6C6361"/>
                <w:sz w:val="24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4"/>
                <w:szCs w:val="20"/>
              </w:rPr>
              <w:t>Market misconduct</w:t>
            </w:r>
          </w:p>
          <w:p w:rsidR="00062859" w:rsidRPr="00891EAA" w:rsidRDefault="00062859" w:rsidP="0011569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Scaffolding</w:t>
            </w:r>
          </w:p>
          <w:p w:rsidR="00062859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The report of the Market Misconduct Tribunal into dealings in the shares QPL International   Holdings L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td.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(25 February 2009)</w:t>
            </w:r>
          </w:p>
          <w:p w:rsidR="00062859" w:rsidRPr="00891EAA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  <w:lang w:eastAsia="zh-TW"/>
              </w:rPr>
            </w:pPr>
            <w:r w:rsidRPr="00891EAA">
              <w:rPr>
                <w:rFonts w:ascii="Arial" w:hAnsi="Arial" w:cs="Arial" w:hint="eastAsia"/>
                <w:color w:val="6C6361"/>
                <w:sz w:val="24"/>
                <w:szCs w:val="20"/>
                <w:lang w:eastAsia="zh-TW"/>
              </w:rPr>
              <w:t>證券及期貨事務監察委員會</w:t>
            </w:r>
            <w:r w:rsidRPr="00891EAA">
              <w:rPr>
                <w:rFonts w:ascii="Arial" w:hAnsi="Arial" w:cs="Arial" w:hint="eastAsia"/>
                <w:color w:val="6C6361"/>
                <w:sz w:val="24"/>
                <w:szCs w:val="20"/>
                <w:lang w:eastAsia="zh-TW"/>
              </w:rPr>
              <w:t xml:space="preserve"> </w:t>
            </w:r>
            <w:r w:rsidRPr="00891EAA">
              <w:rPr>
                <w:rFonts w:ascii="Arial" w:hAnsi="Arial" w:cs="Arial" w:hint="eastAsia"/>
                <w:color w:val="6C6361"/>
                <w:sz w:val="24"/>
                <w:szCs w:val="20"/>
                <w:lang w:eastAsia="zh-TW"/>
              </w:rPr>
              <w:t>訴</w:t>
            </w:r>
            <w:r w:rsidRPr="00891EAA">
              <w:rPr>
                <w:rFonts w:ascii="Arial" w:hAnsi="Arial" w:cs="Arial" w:hint="eastAsia"/>
                <w:color w:val="6C6361"/>
                <w:sz w:val="24"/>
                <w:szCs w:val="20"/>
                <w:lang w:eastAsia="zh-TW"/>
              </w:rPr>
              <w:t xml:space="preserve"> </w:t>
            </w:r>
            <w:r w:rsidRPr="00891EAA">
              <w:rPr>
                <w:rFonts w:ascii="Arial" w:hAnsi="Arial" w:cs="Arial" w:hint="eastAsia"/>
                <w:color w:val="6C6361"/>
                <w:sz w:val="24"/>
                <w:szCs w:val="20"/>
                <w:lang w:eastAsia="zh-TW"/>
              </w:rPr>
              <w:t>陳景倫及另一人</w:t>
            </w:r>
            <w:r w:rsidRPr="00891EAA">
              <w:rPr>
                <w:rFonts w:ascii="Arial" w:hAnsi="Arial" w:cs="Arial" w:hint="eastAsia"/>
                <w:color w:val="6C6361"/>
                <w:sz w:val="24"/>
                <w:szCs w:val="20"/>
                <w:lang w:eastAsia="zh-TW"/>
              </w:rPr>
              <w:t xml:space="preserve"> [2014] HKCU 86</w:t>
            </w:r>
          </w:p>
          <w:p w:rsidR="00062859" w:rsidRPr="00891EAA" w:rsidRDefault="00062859" w:rsidP="0011569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Layering</w:t>
            </w:r>
          </w:p>
          <w:p w:rsidR="00062859" w:rsidRPr="00891EAA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Decision Notice of the Financial Conduct Authority in 7722656 Canada Inc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formerly carrying on business as Swift Trade Inc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c/o BBRMS Holdings Inc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</w:p>
          <w:p w:rsidR="00062859" w:rsidRPr="00891EAA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7722656 Canada Inc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v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Financial Conduct Authority [2013] Lloyd’s LR (FC) 381</w:t>
            </w:r>
          </w:p>
          <w:p w:rsidR="00062859" w:rsidRPr="00AE5D88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Financial Conduct Authority v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Da Vinci Invest Ltd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and others [2016] 1 BCLC 554</w:t>
            </w:r>
          </w:p>
          <w:p w:rsidR="00062859" w:rsidRPr="00891EAA" w:rsidRDefault="00062859" w:rsidP="0011569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Self-trades </w:t>
            </w:r>
          </w:p>
          <w:p w:rsidR="00062859" w:rsidRPr="00891EAA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Australian Securities Commission v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Nomura International PLC (1998) 29 ACSR 473</w:t>
            </w:r>
          </w:p>
          <w:p w:rsidR="00062859" w:rsidRPr="00AE5D88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The report of the Market Misconduct Tribunal into dealings in the shares of Sino </w:t>
            </w:r>
            <w:proofErr w:type="spellStart"/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Katalytics</w:t>
            </w:r>
            <w:proofErr w:type="spellEnd"/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Investment Corp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(16 August 2012)</w:t>
            </w:r>
          </w:p>
        </w:tc>
      </w:tr>
    </w:tbl>
    <w:p w:rsidR="00062859" w:rsidRPr="00062859" w:rsidRDefault="00062859" w:rsidP="00062859">
      <w:pPr>
        <w:spacing w:line="276" w:lineRule="auto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062859" w:rsidRPr="00FE3488" w:rsidTr="0011569D">
        <w:trPr>
          <w:trHeight w:val="4553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062859" w:rsidRPr="00891EAA" w:rsidRDefault="00062859" w:rsidP="0011569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lastRenderedPageBreak/>
              <w:t>Special crossings</w:t>
            </w:r>
          </w:p>
          <w:p w:rsidR="00062859" w:rsidRPr="00AE5D88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Re Rosenberg v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Australian Securities and Investments Commissions (2010) 117 ALD 582</w:t>
            </w:r>
          </w:p>
          <w:p w:rsidR="00062859" w:rsidRPr="00AE5D88" w:rsidRDefault="00062859" w:rsidP="0011569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proofErr w:type="spellStart"/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Stabilisation</w:t>
            </w:r>
            <w:proofErr w:type="spellEnd"/>
          </w:p>
          <w:p w:rsidR="00062859" w:rsidRPr="00891EAA" w:rsidRDefault="00062859" w:rsidP="0011569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Miscellaneous cases </w:t>
            </w:r>
          </w:p>
          <w:p w:rsidR="00062859" w:rsidRPr="00891EAA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The Securities and Futures Commission v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Young Bik Fung and others [2018] HKCFA 45</w:t>
            </w:r>
          </w:p>
          <w:p w:rsidR="00062859" w:rsidRPr="00891EAA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The 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S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ecurities and Futures Commission v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</w:t>
            </w:r>
            <w:proofErr w:type="spellStart"/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Yiu</w:t>
            </w:r>
            <w:proofErr w:type="spellEnd"/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Hoi Ying Charles and others [2018] HKCFA 44</w:t>
            </w:r>
          </w:p>
          <w:p w:rsidR="00062859" w:rsidRPr="00891EAA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The report of the Market Misconduct Tribunal into dealings in the shares of </w:t>
            </w:r>
            <w:proofErr w:type="spellStart"/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Citic</w:t>
            </w:r>
            <w:proofErr w:type="spellEnd"/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Ltd.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(7 April 2017)</w:t>
            </w:r>
          </w:p>
          <w:p w:rsidR="00062859" w:rsidRPr="00AE5D88" w:rsidRDefault="00062859" w:rsidP="0011569D">
            <w:pPr>
              <w:pStyle w:val="ListParagraph"/>
              <w:numPr>
                <w:ilvl w:val="2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Securities and Futures Commission v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</w:t>
            </w:r>
            <w:proofErr w:type="spellStart"/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Qunxing</w:t>
            </w:r>
            <w:proofErr w:type="spellEnd"/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Paper Holdings Co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Ltd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.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 xml:space="preserve"> and </w:t>
            </w:r>
            <w:r>
              <w:rPr>
                <w:rFonts w:ascii="Arial" w:hAnsi="Arial" w:cs="Arial"/>
                <w:color w:val="6C6361"/>
                <w:sz w:val="24"/>
                <w:szCs w:val="20"/>
              </w:rPr>
              <w:t>o</w:t>
            </w:r>
            <w:r w:rsidRPr="00891EAA">
              <w:rPr>
                <w:rFonts w:ascii="Arial" w:hAnsi="Arial" w:cs="Arial"/>
                <w:color w:val="6C6361"/>
                <w:sz w:val="24"/>
                <w:szCs w:val="20"/>
              </w:rPr>
              <w:t>thers [2018] 4 HKC 465</w:t>
            </w:r>
          </w:p>
          <w:p w:rsidR="00062859" w:rsidRPr="00E46718" w:rsidRDefault="00062859" w:rsidP="0011569D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color w:val="6C6361"/>
                <w:sz w:val="24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4"/>
                <w:szCs w:val="20"/>
              </w:rPr>
              <w:t>Backdoor listing</w:t>
            </w:r>
          </w:p>
          <w:p w:rsidR="00062859" w:rsidRPr="00AE5D88" w:rsidRDefault="00062859" w:rsidP="0011569D">
            <w:pPr>
              <w:pStyle w:val="ListParagraph"/>
              <w:numPr>
                <w:ilvl w:val="1"/>
                <w:numId w:val="1"/>
              </w:numPr>
              <w:spacing w:line="276" w:lineRule="auto"/>
              <w:rPr>
                <w:rFonts w:ascii="Arial" w:hAnsi="Arial" w:cs="Arial"/>
                <w:color w:val="6C6361"/>
                <w:sz w:val="24"/>
                <w:szCs w:val="20"/>
              </w:rPr>
            </w:pPr>
            <w:r w:rsidRPr="00AE5D88">
              <w:rPr>
                <w:rFonts w:ascii="Arial" w:hAnsi="Arial" w:cs="Arial"/>
                <w:color w:val="6C6361"/>
                <w:sz w:val="24"/>
                <w:szCs w:val="20"/>
              </w:rPr>
              <w:t>Hong Kong Stock Exchange’s Consultation Paper on Backdoor Listing, Continuing Listing Criteria and Other Rule Amendments (25 Sep 2018)</w:t>
            </w:r>
          </w:p>
        </w:tc>
      </w:tr>
    </w:tbl>
    <w:p w:rsidR="003A7AA2" w:rsidRPr="002A577C" w:rsidRDefault="003A7AA2" w:rsidP="003A7AA2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82"/>
        <w:gridCol w:w="2858"/>
        <w:gridCol w:w="794"/>
        <w:gridCol w:w="1699"/>
        <w:gridCol w:w="2500"/>
        <w:gridCol w:w="1239"/>
      </w:tblGrid>
      <w:tr w:rsidR="00062859" w:rsidRPr="00B90951" w:rsidTr="00AE3B40">
        <w:trPr>
          <w:trHeight w:val="340"/>
          <w:jc w:val="center"/>
        </w:trPr>
        <w:tc>
          <w:tcPr>
            <w:tcW w:w="1682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52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EVT000000277</w:t>
            </w:r>
          </w:p>
        </w:tc>
        <w:tc>
          <w:tcPr>
            <w:tcW w:w="1699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39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062859" w:rsidRPr="00B90951" w:rsidTr="00AE3B40">
        <w:trPr>
          <w:trHeight w:val="340"/>
          <w:jc w:val="center"/>
        </w:trPr>
        <w:tc>
          <w:tcPr>
            <w:tcW w:w="1682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52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22 July 2019 (Monday) (Amended)</w:t>
            </w:r>
          </w:p>
        </w:tc>
        <w:tc>
          <w:tcPr>
            <w:tcW w:w="169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39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062859" w:rsidRPr="00B90951" w:rsidTr="00AE3B40">
        <w:trPr>
          <w:trHeight w:val="340"/>
          <w:jc w:val="center"/>
        </w:trPr>
        <w:tc>
          <w:tcPr>
            <w:tcW w:w="1682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52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14:30 - 17:45</w:t>
            </w:r>
          </w:p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color w:val="6C6361"/>
                <w:sz w:val="20"/>
                <w:szCs w:val="20"/>
              </w:rPr>
              <w:t>(Reception starts at 14:00)</w:t>
            </w:r>
          </w:p>
        </w:tc>
        <w:tc>
          <w:tcPr>
            <w:tcW w:w="1699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062859" w:rsidRPr="00B90951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39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062859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3.0 CPD Points</w:t>
            </w:r>
          </w:p>
          <w:p w:rsidR="00062859" w:rsidRPr="005C4BC9" w:rsidRDefault="00062859" w:rsidP="00062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3A7AA2" w:rsidRPr="00B90951" w:rsidTr="00AE3B40">
        <w:trPr>
          <w:trHeight w:val="1247"/>
          <w:jc w:val="center"/>
        </w:trPr>
        <w:tc>
          <w:tcPr>
            <w:tcW w:w="1682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3A7AA2" w:rsidRPr="00B90951" w:rsidRDefault="003A7AA2" w:rsidP="00AE3B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58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3A7AA2" w:rsidRPr="00B90951" w:rsidRDefault="003A7AA2" w:rsidP="00AE3B40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:rsidR="003A7AA2" w:rsidRPr="00B90951" w:rsidRDefault="003A7AA2" w:rsidP="00AE3B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:rsidR="003A7AA2" w:rsidRPr="00B90951" w:rsidRDefault="003A7AA2" w:rsidP="00AE3B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:rsidR="003A7AA2" w:rsidRPr="00B90951" w:rsidRDefault="003A7AA2" w:rsidP="00AE3B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3A7AA2" w:rsidRPr="00B90951" w:rsidRDefault="003A7AA2" w:rsidP="00AE3B40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03DFA865" wp14:editId="364BE25D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AA2" w:rsidRPr="00B90951" w:rsidRDefault="003A7AA2" w:rsidP="00AE3B40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699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3A7AA2" w:rsidRPr="003A2A41" w:rsidRDefault="003A7AA2" w:rsidP="00AE3B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3A7AA2" w:rsidRPr="003A2A41" w:rsidRDefault="003A7AA2" w:rsidP="00AE3B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50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3A7AA2" w:rsidRPr="003A2A41" w:rsidRDefault="003A7AA2" w:rsidP="00AE3B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3A7AA2" w:rsidRPr="003A2A41" w:rsidRDefault="003A7AA2" w:rsidP="00AE3B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3A7AA2" w:rsidRPr="00156567" w:rsidRDefault="003A7AA2" w:rsidP="00AE3B4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1837E20E" wp14:editId="32E7E584">
                  <wp:extent cx="649605" cy="649605"/>
                  <wp:effectExtent l="0" t="0" r="0" b="0"/>
                  <wp:docPr id="4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3A7AA2" w:rsidRDefault="00214BC6" w:rsidP="003A7AA2">
      <w:pPr>
        <w:rPr>
          <w:sz w:val="2"/>
          <w:szCs w:val="2"/>
        </w:rPr>
      </w:pPr>
    </w:p>
    <w:sectPr w:rsidR="00214BC6" w:rsidRPr="003A7AA2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823" w:rsidRDefault="00EF2823" w:rsidP="00546556">
      <w:r>
        <w:separator/>
      </w:r>
    </w:p>
  </w:endnote>
  <w:endnote w:type="continuationSeparator" w:id="0">
    <w:p w:rsidR="00EF2823" w:rsidRDefault="00EF2823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823" w:rsidRDefault="00EF2823" w:rsidP="00546556">
      <w:r>
        <w:separator/>
      </w:r>
    </w:p>
  </w:footnote>
  <w:footnote w:type="continuationSeparator" w:id="0">
    <w:p w:rsidR="00EF2823" w:rsidRDefault="00EF2823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324D7613"/>
    <w:multiLevelType w:val="hybridMultilevel"/>
    <w:tmpl w:val="4F6AE4CC"/>
    <w:lvl w:ilvl="0" w:tplc="01A8DEFE">
      <w:numFmt w:val="bullet"/>
      <w:lvlText w:val="-"/>
      <w:lvlJc w:val="left"/>
      <w:pPr>
        <w:ind w:left="72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78E352A"/>
    <w:multiLevelType w:val="hybridMultilevel"/>
    <w:tmpl w:val="48D0C8D6"/>
    <w:lvl w:ilvl="0" w:tplc="04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75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5"/>
  </w:num>
  <w:num w:numId="3">
    <w:abstractNumId w:val="14"/>
  </w:num>
  <w:num w:numId="4">
    <w:abstractNumId w:val="2"/>
  </w:num>
  <w:num w:numId="5">
    <w:abstractNumId w:val="4"/>
  </w:num>
  <w:num w:numId="6">
    <w:abstractNumId w:val="15"/>
  </w:num>
  <w:num w:numId="7">
    <w:abstractNumId w:val="3"/>
  </w:num>
  <w:num w:numId="8">
    <w:abstractNumId w:val="16"/>
  </w:num>
  <w:num w:numId="9">
    <w:abstractNumId w:val="17"/>
  </w:num>
  <w:num w:numId="10">
    <w:abstractNumId w:val="11"/>
  </w:num>
  <w:num w:numId="11">
    <w:abstractNumId w:val="0"/>
  </w:num>
  <w:num w:numId="12">
    <w:abstractNumId w:val="8"/>
  </w:num>
  <w:num w:numId="13">
    <w:abstractNumId w:val="13"/>
  </w:num>
  <w:num w:numId="14">
    <w:abstractNumId w:val="7"/>
  </w:num>
  <w:num w:numId="15">
    <w:abstractNumId w:val="10"/>
  </w:num>
  <w:num w:numId="16">
    <w:abstractNumId w:val="1"/>
  </w:num>
  <w:num w:numId="17">
    <w:abstractNumId w:val="6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ANhY1CctHZnjJuhb7ZS2wvmPb/at2HsaFo81fBwg6Mx49JQinTXmrusVgnqYm/RJPRBPfLGyhBQEGdDer4P5hw==" w:salt="QwuniCqCKuXCiiLhPkXUt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289F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46D28"/>
    <w:rsid w:val="00050731"/>
    <w:rsid w:val="00051CAA"/>
    <w:rsid w:val="000520AB"/>
    <w:rsid w:val="000526A1"/>
    <w:rsid w:val="00052BAD"/>
    <w:rsid w:val="000538AF"/>
    <w:rsid w:val="00054C0E"/>
    <w:rsid w:val="00055708"/>
    <w:rsid w:val="0005657B"/>
    <w:rsid w:val="000568E8"/>
    <w:rsid w:val="00061765"/>
    <w:rsid w:val="00062429"/>
    <w:rsid w:val="00062643"/>
    <w:rsid w:val="00062859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D73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16FE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4836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1E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37ABF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77C"/>
    <w:rsid w:val="002A5B47"/>
    <w:rsid w:val="002B029C"/>
    <w:rsid w:val="002B149D"/>
    <w:rsid w:val="002B547D"/>
    <w:rsid w:val="002B7150"/>
    <w:rsid w:val="002B775A"/>
    <w:rsid w:val="002C1664"/>
    <w:rsid w:val="002C3DA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09A"/>
    <w:rsid w:val="0032686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3215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4904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A7AA2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F22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969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190E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3A9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693B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6FE5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63D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6DF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5277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5A4"/>
    <w:rsid w:val="006B2C92"/>
    <w:rsid w:val="006B4F26"/>
    <w:rsid w:val="006B5C5B"/>
    <w:rsid w:val="006B5FF8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21F5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2D4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50AA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8F6C35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4421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559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0D7A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5D7A"/>
    <w:rsid w:val="00A66059"/>
    <w:rsid w:val="00A663FE"/>
    <w:rsid w:val="00A677A8"/>
    <w:rsid w:val="00A7171B"/>
    <w:rsid w:val="00A71C8F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B41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7DE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07977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48E1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5F5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49A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6223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87C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4BE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44D4"/>
    <w:rsid w:val="00DA5424"/>
    <w:rsid w:val="00DA6DE7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0B56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25FE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77CF3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0144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2823"/>
    <w:rsid w:val="00EF32B8"/>
    <w:rsid w:val="00EF46E1"/>
    <w:rsid w:val="00EF5020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77438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d.hk/evt000000277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rofectional.com/presenters/idl000010267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B18537-645E-4F7A-95F5-E23B4D744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Land (Compulsory Sale for Redevelopment) Ordinance (Cap.545)</vt:lpstr>
    </vt:vector>
  </TitlesOfParts>
  <Manager>Tyrone Tsang</Manager>
  <Company>The Profectional Company Limited</Company>
  <LinksUpToDate>false</LinksUpToDate>
  <CharactersWithSpaces>2909</CharactersWithSpaces>
  <SharedDoc>false</SharedDoc>
  <HyperlinkBase>http://download.profectional.com/events/EVT000000277.docx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Listed Companies</dc:title>
  <dc:subject>CPD Course, CPT Course: Listed Companies</dc:subject>
  <dc:creator>The Profectional Company Limited</dc:creator>
  <cp:keywords>Profectional; Kornerstone; CPD; CPT; CLE; CE; RME; Clemence Yeung; Barrister-at-Law</cp:keywords>
  <cp:lastModifiedBy>Tyrone Tsang</cp:lastModifiedBy>
  <cp:revision>43</cp:revision>
  <cp:lastPrinted>2019-07-23T15:29:00Z</cp:lastPrinted>
  <dcterms:created xsi:type="dcterms:W3CDTF">2015-08-21T08:33:00Z</dcterms:created>
  <dcterms:modified xsi:type="dcterms:W3CDTF">2019-07-23T15:29:00Z</dcterms:modified>
</cp:coreProperties>
</file>