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61" w:rsidRPr="00302261" w:rsidRDefault="00302261" w:rsidP="003022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02261" w:rsidRPr="00523A64" w:rsidTr="00F902D1">
        <w:trPr>
          <w:trHeight w:val="3119"/>
          <w:jc w:val="center"/>
        </w:trPr>
        <w:tc>
          <w:tcPr>
            <w:tcW w:w="4797" w:type="dxa"/>
            <w:shd w:val="clear" w:color="auto" w:fill="FFFFFF"/>
            <w:vAlign w:val="center"/>
          </w:tcPr>
          <w:p w:rsidR="00302261" w:rsidRPr="001A3018" w:rsidRDefault="00302261" w:rsidP="00F902D1">
            <w:pPr>
              <w:jc w:val="center"/>
              <w:rPr>
                <w:rFonts w:ascii="Arial" w:hAnsi="Arial" w:cs="Arial"/>
                <w:b/>
                <w:bCs/>
                <w:color w:val="524B48"/>
                <w:sz w:val="4"/>
                <w:szCs w:val="4"/>
              </w:rPr>
            </w:pPr>
          </w:p>
          <w:p w:rsidR="00302261" w:rsidRDefault="00302261" w:rsidP="00F902D1">
            <w:pPr>
              <w:jc w:val="center"/>
              <w:rPr>
                <w:rStyle w:val="Hyperlink"/>
                <w:rFonts w:ascii="Arial" w:hAnsi="Arial" w:cs="Arial"/>
                <w:b/>
                <w:bCs/>
                <w:color w:val="524B48"/>
                <w:sz w:val="32"/>
                <w:szCs w:val="32"/>
                <w:u w:val="none"/>
              </w:rPr>
            </w:pPr>
            <w:r w:rsidRPr="00CF685C">
              <w:fldChar w:fldCharType="begin"/>
            </w:r>
            <w:r>
              <w:instrText>HYPERLINK "http://cpd.hk/evt000000286/"</w:instrText>
            </w:r>
            <w:r w:rsidRPr="00CF685C">
              <w:fldChar w:fldCharType="separate"/>
            </w:r>
            <w:r>
              <w:rPr>
                <w:rStyle w:val="Hyperlink"/>
                <w:rFonts w:ascii="Arial" w:hAnsi="Arial" w:cs="Arial"/>
                <w:b/>
                <w:bCs/>
                <w:color w:val="524B48"/>
                <w:sz w:val="32"/>
                <w:szCs w:val="32"/>
                <w:u w:val="none"/>
              </w:rPr>
              <w:t>The Borrowed Voice:</w:t>
            </w:r>
          </w:p>
          <w:p w:rsidR="00302261" w:rsidRDefault="00302261" w:rsidP="00F902D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Children’s Participation</w:t>
            </w:r>
          </w:p>
          <w:p w:rsidR="00302261" w:rsidRDefault="00302261" w:rsidP="00F902D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Family Law</w:t>
            </w:r>
          </w:p>
          <w:p w:rsidR="00302261" w:rsidRDefault="00302261" w:rsidP="00F902D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Proceedings</w:t>
            </w:r>
          </w:p>
          <w:p w:rsidR="00302261" w:rsidRPr="00C65AFD" w:rsidRDefault="00302261" w:rsidP="00F902D1">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02261" w:rsidRPr="00C65AFD" w:rsidRDefault="00302261" w:rsidP="00F902D1">
            <w:pPr>
              <w:jc w:val="center"/>
              <w:rPr>
                <w:rFonts w:ascii="Arial" w:hAnsi="Arial" w:cs="Arial"/>
                <w:i/>
                <w:color w:val="6C6361"/>
                <w:sz w:val="24"/>
                <w:szCs w:val="24"/>
              </w:rPr>
            </w:pPr>
            <w:r w:rsidRPr="00C65AFD">
              <w:rPr>
                <w:rFonts w:ascii="Arial" w:hAnsi="Arial" w:cs="Arial"/>
                <w:i/>
                <w:color w:val="6C6361"/>
                <w:sz w:val="24"/>
                <w:szCs w:val="24"/>
              </w:rPr>
              <w:t>by</w:t>
            </w:r>
          </w:p>
          <w:p w:rsidR="00302261" w:rsidRDefault="00302261" w:rsidP="00F902D1">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Cordelia</w:t>
              </w:r>
              <w:proofErr w:type="spellEnd"/>
              <w:r>
                <w:rPr>
                  <w:rStyle w:val="Hyperlink"/>
                  <w:rFonts w:ascii="Arial" w:hAnsi="Arial" w:cs="Arial"/>
                  <w:color w:val="6C6361"/>
                  <w:sz w:val="24"/>
                  <w:szCs w:val="24"/>
                  <w:u w:val="none"/>
                </w:rPr>
                <w:t xml:space="preserve"> Yeung</w:t>
              </w:r>
            </w:hyperlink>
            <w:r>
              <w:rPr>
                <w:rStyle w:val="Hyperlink"/>
                <w:rFonts w:ascii="Arial" w:hAnsi="Arial" w:cs="Arial"/>
                <w:color w:val="6C6361"/>
                <w:sz w:val="24"/>
                <w:szCs w:val="24"/>
                <w:u w:val="none"/>
              </w:rPr>
              <w:t>,</w:t>
            </w:r>
          </w:p>
          <w:p w:rsidR="00302261" w:rsidRDefault="00302261" w:rsidP="00F902D1">
            <w:pPr>
              <w:jc w:val="center"/>
              <w:rPr>
                <w:rFonts w:ascii="Arial" w:hAnsi="Arial" w:cs="Arial"/>
                <w:color w:val="6C6361"/>
                <w:sz w:val="24"/>
                <w:szCs w:val="24"/>
              </w:rPr>
            </w:pPr>
            <w:r>
              <w:rPr>
                <w:rFonts w:ascii="Arial" w:hAnsi="Arial" w:cs="Arial"/>
                <w:color w:val="6C6361"/>
                <w:sz w:val="24"/>
                <w:szCs w:val="24"/>
              </w:rPr>
              <w:t>Barrister-at-Law,</w:t>
            </w:r>
          </w:p>
          <w:p w:rsidR="00302261" w:rsidRPr="007E02E6" w:rsidRDefault="00302261" w:rsidP="00F902D1">
            <w:pPr>
              <w:jc w:val="center"/>
              <w:rPr>
                <w:rFonts w:ascii="Arial" w:hAnsi="Arial" w:cs="Arial"/>
                <w:color w:val="6C6361"/>
                <w:sz w:val="24"/>
                <w:szCs w:val="24"/>
              </w:rPr>
            </w:pPr>
            <w:r>
              <w:rPr>
                <w:rFonts w:ascii="Arial" w:hAnsi="Arial" w:cs="Arial"/>
                <w:color w:val="6C6361"/>
                <w:sz w:val="24"/>
                <w:szCs w:val="24"/>
              </w:rPr>
              <w:t>Alan Leong, S.C.’s Chambers</w:t>
            </w:r>
          </w:p>
          <w:p w:rsidR="00302261" w:rsidRPr="00D87ECF" w:rsidRDefault="00302261" w:rsidP="00F902D1">
            <w:pPr>
              <w:jc w:val="center"/>
              <w:rPr>
                <w:rFonts w:ascii="Arial" w:hAnsi="Arial" w:cs="Arial"/>
                <w:color w:val="6C6361"/>
                <w:sz w:val="8"/>
                <w:szCs w:val="8"/>
              </w:rPr>
            </w:pPr>
          </w:p>
        </w:tc>
        <w:tc>
          <w:tcPr>
            <w:tcW w:w="5976" w:type="dxa"/>
            <w:shd w:val="clear" w:color="auto" w:fill="FFFFFF"/>
            <w:vAlign w:val="center"/>
          </w:tcPr>
          <w:p w:rsidR="00302261" w:rsidRPr="00D50772" w:rsidRDefault="00302261" w:rsidP="00F902D1">
            <w:pPr>
              <w:spacing w:line="276" w:lineRule="auto"/>
              <w:rPr>
                <w:rFonts w:ascii="Arial" w:eastAsia="Times New Roman" w:hAnsi="Arial" w:cs="Arial"/>
                <w:noProof/>
                <w:sz w:val="20"/>
                <w:szCs w:val="20"/>
              </w:rPr>
            </w:pPr>
            <w:r w:rsidRPr="00D915C2">
              <w:rPr>
                <w:rFonts w:ascii="Arial" w:eastAsia="Times New Roman" w:hAnsi="Arial" w:cs="Arial"/>
                <w:noProof/>
                <w:sz w:val="20"/>
                <w:szCs w:val="20"/>
              </w:rPr>
              <w:drawing>
                <wp:anchor distT="0" distB="0" distL="114300" distR="114300" simplePos="0" relativeHeight="251659264" behindDoc="0" locked="0" layoutInCell="1" allowOverlap="1" wp14:anchorId="5FCBE1FF" wp14:editId="2BA9D5A5">
                  <wp:simplePos x="0" y="0"/>
                  <wp:positionH relativeFrom="column">
                    <wp:posOffset>3183255</wp:posOffset>
                  </wp:positionH>
                  <wp:positionV relativeFrom="paragraph">
                    <wp:posOffset>-52070</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D75E4E6" wp14:editId="1EDB09B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302261" w:rsidRPr="00F31799" w:rsidRDefault="00302261" w:rsidP="00302261">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302261" w:rsidRPr="000F3FFC" w:rsidTr="00F902D1">
        <w:trPr>
          <w:trHeight w:val="2515"/>
          <w:jc w:val="center"/>
        </w:trPr>
        <w:tc>
          <w:tcPr>
            <w:tcW w:w="1985" w:type="dxa"/>
            <w:shd w:val="clear" w:color="auto" w:fill="FFFFFF"/>
            <w:vAlign w:val="center"/>
          </w:tcPr>
          <w:p w:rsidR="00302261" w:rsidRPr="000F3FFC" w:rsidRDefault="00302261" w:rsidP="00302261">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411B515" wp14:editId="465CD885">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02261" w:rsidRPr="00F31799" w:rsidRDefault="00302261" w:rsidP="00302261">
            <w:pPr>
              <w:pStyle w:val="NormalWeb"/>
              <w:spacing w:before="0" w:beforeAutospacing="0" w:after="0" w:afterAutospacing="0"/>
              <w:jc w:val="both"/>
              <w:rPr>
                <w:rFonts w:ascii="Arial" w:hAnsi="Arial" w:cs="Arial"/>
                <w:color w:val="6C6361"/>
                <w:szCs w:val="21"/>
              </w:rPr>
            </w:pPr>
            <w:proofErr w:type="spellStart"/>
            <w:r w:rsidRPr="00F31799">
              <w:rPr>
                <w:rFonts w:ascii="Arial" w:hAnsi="Arial" w:cs="Arial"/>
                <w:color w:val="6C6361"/>
                <w:szCs w:val="21"/>
              </w:rPr>
              <w:t>Ms</w:t>
            </w:r>
            <w:proofErr w:type="spellEnd"/>
            <w:r w:rsidRPr="00F31799">
              <w:rPr>
                <w:rFonts w:ascii="Arial" w:hAnsi="Arial" w:cs="Arial"/>
                <w:color w:val="6C6361"/>
                <w:szCs w:val="21"/>
              </w:rPr>
              <w:t xml:space="preserve"> </w:t>
            </w:r>
            <w:proofErr w:type="spellStart"/>
            <w:r w:rsidRPr="00F31799">
              <w:rPr>
                <w:rFonts w:ascii="Arial" w:hAnsi="Arial" w:cs="Arial"/>
                <w:color w:val="6C6361"/>
                <w:szCs w:val="21"/>
              </w:rPr>
              <w:t>Cordelia</w:t>
            </w:r>
            <w:proofErr w:type="spellEnd"/>
            <w:r w:rsidRPr="00F31799">
              <w:rPr>
                <w:rFonts w:ascii="Arial" w:hAnsi="Arial" w:cs="Arial"/>
                <w:color w:val="6C6361"/>
                <w:szCs w:val="21"/>
              </w:rPr>
              <w:t xml:space="preserve"> Yeung graduated from Durham University with an LLB in 2014 and the University of Hong Kong with an LLM (Distinction) in 2016.</w:t>
            </w:r>
            <w:r>
              <w:rPr>
                <w:rFonts w:ascii="Arial" w:hAnsi="Arial" w:cs="Arial"/>
                <w:color w:val="6C6361"/>
                <w:szCs w:val="21"/>
              </w:rPr>
              <w:t xml:space="preserve"> </w:t>
            </w:r>
            <w:r w:rsidRPr="00F31799">
              <w:rPr>
                <w:rFonts w:ascii="Arial" w:hAnsi="Arial" w:cs="Arial"/>
                <w:color w:val="6C6361"/>
                <w:szCs w:val="21"/>
              </w:rPr>
              <w:t xml:space="preserve"> In 2018, she was called to the Bar in Hong Kong and awarded the Middle Temple Society Advocacy Scholarship.</w:t>
            </w:r>
            <w:r>
              <w:rPr>
                <w:rFonts w:ascii="Arial" w:hAnsi="Arial" w:cs="Arial"/>
                <w:color w:val="6C6361"/>
                <w:szCs w:val="21"/>
              </w:rPr>
              <w:t xml:space="preserve"> </w:t>
            </w:r>
            <w:r w:rsidRPr="00F31799">
              <w:rPr>
                <w:rFonts w:ascii="Arial" w:hAnsi="Arial" w:cs="Arial"/>
                <w:color w:val="6C6361"/>
                <w:szCs w:val="21"/>
              </w:rPr>
              <w:t xml:space="preserve"> In the following year, she joined Alan Leong, S.C.’s Chambers.</w:t>
            </w:r>
          </w:p>
        </w:tc>
      </w:tr>
    </w:tbl>
    <w:p w:rsidR="00302261" w:rsidRPr="00F31799" w:rsidRDefault="00302261" w:rsidP="0030226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02261" w:rsidRPr="00F31799" w:rsidTr="00F902D1">
        <w:trPr>
          <w:trHeight w:val="6594"/>
          <w:jc w:val="center"/>
        </w:trPr>
        <w:tc>
          <w:tcPr>
            <w:tcW w:w="10773" w:type="dxa"/>
            <w:tcBorders>
              <w:top w:val="nil"/>
              <w:bottom w:val="nil"/>
            </w:tcBorders>
            <w:shd w:val="clear" w:color="auto" w:fill="FFFFFF" w:themeFill="background1"/>
            <w:vAlign w:val="center"/>
          </w:tcPr>
          <w:p w:rsidR="00302261" w:rsidRPr="00F31799" w:rsidRDefault="00302261" w:rsidP="00F902D1">
            <w:pPr>
              <w:spacing w:line="276" w:lineRule="auto"/>
              <w:rPr>
                <w:rFonts w:ascii="Arial" w:hAnsi="Arial" w:cs="Arial"/>
                <w:color w:val="6C6361"/>
                <w:sz w:val="24"/>
                <w:szCs w:val="20"/>
              </w:rPr>
            </w:pPr>
            <w:r w:rsidRPr="00F31799">
              <w:rPr>
                <w:rFonts w:ascii="Arial" w:hAnsi="Arial" w:cs="Arial"/>
                <w:i/>
                <w:color w:val="6C6361"/>
                <w:sz w:val="24"/>
                <w:szCs w:val="20"/>
              </w:rPr>
              <w:t>“How can we ensure that the voice of the child is central to the family court process? It needs to be heard clearly and early on!”</w:t>
            </w:r>
            <w:r w:rsidRPr="00F31799">
              <w:rPr>
                <w:rFonts w:ascii="Arial" w:hAnsi="Arial" w:cs="Arial"/>
                <w:color w:val="6C6361"/>
                <w:sz w:val="24"/>
                <w:szCs w:val="20"/>
              </w:rPr>
              <w:t xml:space="preserve"> - Sir Andrew McFarlane, the President of the Family Division of the High Court of Justice in England and Wales</w:t>
            </w:r>
          </w:p>
          <w:p w:rsidR="00302261" w:rsidRPr="00F31799" w:rsidRDefault="00302261" w:rsidP="00F902D1">
            <w:pPr>
              <w:spacing w:line="276" w:lineRule="auto"/>
              <w:rPr>
                <w:rFonts w:ascii="Arial" w:hAnsi="Arial" w:cs="Arial"/>
                <w:color w:val="6C6361"/>
                <w:sz w:val="24"/>
                <w:szCs w:val="10"/>
              </w:rPr>
            </w:pPr>
          </w:p>
          <w:p w:rsidR="00302261" w:rsidRPr="00F31799" w:rsidRDefault="00302261" w:rsidP="00F902D1">
            <w:pPr>
              <w:spacing w:line="276" w:lineRule="auto"/>
              <w:rPr>
                <w:rFonts w:ascii="Arial" w:hAnsi="Arial" w:cs="Arial"/>
                <w:color w:val="6C6361"/>
                <w:sz w:val="24"/>
                <w:szCs w:val="20"/>
              </w:rPr>
            </w:pPr>
            <w:r w:rsidRPr="00F31799">
              <w:rPr>
                <w:rFonts w:ascii="Arial" w:hAnsi="Arial" w:cs="Arial"/>
                <w:color w:val="6C6361"/>
                <w:sz w:val="24"/>
                <w:szCs w:val="20"/>
              </w:rPr>
              <w:t xml:space="preserve">Article 12 of the United Nations Convention on the Rights of the Child enshrines the child’s right to be heard. </w:t>
            </w:r>
            <w:r>
              <w:rPr>
                <w:rFonts w:ascii="Arial" w:hAnsi="Arial" w:cs="Arial"/>
                <w:color w:val="6C6361"/>
                <w:sz w:val="24"/>
                <w:szCs w:val="20"/>
              </w:rPr>
              <w:t xml:space="preserve"> </w:t>
            </w:r>
            <w:r w:rsidRPr="00F31799">
              <w:rPr>
                <w:rFonts w:ascii="Arial" w:hAnsi="Arial" w:cs="Arial"/>
                <w:color w:val="6C6361"/>
                <w:sz w:val="24"/>
                <w:szCs w:val="20"/>
              </w:rPr>
              <w:t>As a signatory to the Convention, Hong Kong must fully protect this right, which includes encouraging the child’s participation in family law.</w:t>
            </w:r>
            <w:r>
              <w:rPr>
                <w:rFonts w:ascii="Arial" w:hAnsi="Arial" w:cs="Arial"/>
                <w:color w:val="6C6361"/>
                <w:sz w:val="24"/>
                <w:szCs w:val="20"/>
              </w:rPr>
              <w:t xml:space="preserve"> </w:t>
            </w:r>
            <w:r w:rsidRPr="00F31799">
              <w:rPr>
                <w:rFonts w:ascii="Arial" w:hAnsi="Arial" w:cs="Arial"/>
                <w:color w:val="6C6361"/>
                <w:sz w:val="24"/>
                <w:szCs w:val="20"/>
              </w:rPr>
              <w:t xml:space="preserve"> Yet, two key questions remain: “To what extent should a child’s voice be heard?”, and “Does the current legal framework sufficiently safeguard the child’s right to be heard?” The answers to these questions may lie in the Children Proceedings (Parental Responsibility) Bill of 2015, which was introduced to implement the recommendations made by the Law Reform Commission of Hong Kong in its 2005 Report on Child Custody and Access.</w:t>
            </w:r>
            <w:r>
              <w:rPr>
                <w:rFonts w:ascii="Arial" w:hAnsi="Arial" w:cs="Arial"/>
                <w:color w:val="6C6361"/>
                <w:sz w:val="24"/>
                <w:szCs w:val="20"/>
              </w:rPr>
              <w:t xml:space="preserve"> </w:t>
            </w:r>
            <w:r w:rsidRPr="00F31799">
              <w:rPr>
                <w:rFonts w:ascii="Arial" w:hAnsi="Arial" w:cs="Arial"/>
                <w:color w:val="6C6361"/>
                <w:sz w:val="24"/>
                <w:szCs w:val="20"/>
              </w:rPr>
              <w:t xml:space="preserve"> The Bill advocated for a more child-focused approach and a greater scope for eliciting the ch</w:t>
            </w:r>
            <w:r>
              <w:rPr>
                <w:rFonts w:ascii="Arial" w:hAnsi="Arial" w:cs="Arial"/>
                <w:color w:val="6C6361"/>
                <w:sz w:val="24"/>
                <w:szCs w:val="20"/>
              </w:rPr>
              <w:t>ild’s voice in family disputes.</w:t>
            </w:r>
          </w:p>
          <w:p w:rsidR="00302261" w:rsidRPr="00F31799" w:rsidRDefault="00302261" w:rsidP="00F902D1">
            <w:pPr>
              <w:spacing w:line="276" w:lineRule="auto"/>
              <w:rPr>
                <w:rFonts w:ascii="Arial" w:hAnsi="Arial" w:cs="Arial"/>
                <w:color w:val="6C6361"/>
                <w:sz w:val="24"/>
                <w:szCs w:val="10"/>
              </w:rPr>
            </w:pPr>
          </w:p>
          <w:p w:rsidR="00302261" w:rsidRPr="00F31799" w:rsidRDefault="00302261" w:rsidP="00F902D1">
            <w:pPr>
              <w:spacing w:line="276" w:lineRule="auto"/>
              <w:rPr>
                <w:rFonts w:ascii="Arial" w:hAnsi="Arial" w:cs="Arial"/>
                <w:color w:val="6C6361"/>
                <w:sz w:val="24"/>
                <w:szCs w:val="20"/>
              </w:rPr>
            </w:pPr>
            <w:r w:rsidRPr="00F31799">
              <w:rPr>
                <w:rFonts w:ascii="Arial" w:hAnsi="Arial" w:cs="Arial"/>
                <w:color w:val="6C6361"/>
                <w:sz w:val="24"/>
                <w:szCs w:val="20"/>
              </w:rPr>
              <w:t xml:space="preserve">This course provides an overview of the various methods used to ascertain the child’s voice in private family law proceedings. </w:t>
            </w:r>
            <w:r>
              <w:rPr>
                <w:rFonts w:ascii="Arial" w:hAnsi="Arial" w:cs="Arial"/>
                <w:color w:val="6C6361"/>
                <w:sz w:val="24"/>
                <w:szCs w:val="20"/>
              </w:rPr>
              <w:t xml:space="preserve"> </w:t>
            </w:r>
            <w:r w:rsidRPr="00F31799">
              <w:rPr>
                <w:rFonts w:ascii="Arial" w:hAnsi="Arial" w:cs="Arial"/>
                <w:color w:val="6C6361"/>
                <w:sz w:val="24"/>
                <w:szCs w:val="20"/>
              </w:rPr>
              <w:t>Methods of direct participation include the separate representation of the child and judicial interviews in which judges speak to children in person.</w:t>
            </w:r>
            <w:r>
              <w:rPr>
                <w:rFonts w:ascii="Arial" w:hAnsi="Arial" w:cs="Arial"/>
                <w:color w:val="6C6361"/>
                <w:sz w:val="24"/>
                <w:szCs w:val="20"/>
              </w:rPr>
              <w:t xml:space="preserve"> </w:t>
            </w:r>
            <w:r w:rsidRPr="00F31799">
              <w:rPr>
                <w:rFonts w:ascii="Arial" w:hAnsi="Arial" w:cs="Arial"/>
                <w:color w:val="6C6361"/>
                <w:sz w:val="24"/>
                <w:szCs w:val="20"/>
              </w:rPr>
              <w:t xml:space="preserve"> These methods are contrasted with traditional methods such as reports by social welfare officers, psychiatrists and psychologists. </w:t>
            </w:r>
            <w:r>
              <w:rPr>
                <w:rFonts w:ascii="Arial" w:hAnsi="Arial" w:cs="Arial"/>
                <w:color w:val="6C6361"/>
                <w:sz w:val="24"/>
                <w:szCs w:val="20"/>
              </w:rPr>
              <w:t xml:space="preserve"> </w:t>
            </w:r>
            <w:r w:rsidRPr="00F31799">
              <w:rPr>
                <w:rFonts w:ascii="Arial" w:hAnsi="Arial" w:cs="Arial"/>
                <w:color w:val="6C6361"/>
                <w:sz w:val="24"/>
                <w:szCs w:val="20"/>
              </w:rPr>
              <w:t>This course will draw lessons from the experiences in New Zealand and England and Wales.</w:t>
            </w:r>
          </w:p>
        </w:tc>
      </w:tr>
    </w:tbl>
    <w:p w:rsidR="00302261" w:rsidRDefault="00302261" w:rsidP="00302261">
      <w:pPr>
        <w:spacing w:line="276" w:lineRule="auto"/>
        <w:rPr>
          <w:rFonts w:ascii="Arial" w:hAnsi="Arial" w:cs="Arial"/>
          <w:sz w:val="20"/>
          <w:szCs w:val="18"/>
        </w:rPr>
      </w:pPr>
    </w:p>
    <w:p w:rsidR="00302261" w:rsidRDefault="00302261" w:rsidP="00302261">
      <w:pPr>
        <w:spacing w:line="276" w:lineRule="auto"/>
        <w:rPr>
          <w:rFonts w:ascii="Arial" w:hAnsi="Arial" w:cs="Arial"/>
          <w:sz w:val="20"/>
          <w:szCs w:val="18"/>
        </w:rPr>
      </w:pPr>
    </w:p>
    <w:p w:rsidR="00302261" w:rsidRDefault="00302261" w:rsidP="00302261">
      <w:pPr>
        <w:spacing w:line="276" w:lineRule="auto"/>
        <w:rPr>
          <w:rFonts w:ascii="Arial" w:hAnsi="Arial" w:cs="Arial"/>
          <w:sz w:val="20"/>
          <w:szCs w:val="18"/>
        </w:rPr>
      </w:pPr>
    </w:p>
    <w:p w:rsidR="00302261" w:rsidRDefault="00302261" w:rsidP="00302261">
      <w:pPr>
        <w:spacing w:line="276" w:lineRule="auto"/>
        <w:rPr>
          <w:rFonts w:ascii="Arial" w:hAnsi="Arial" w:cs="Arial"/>
          <w:sz w:val="20"/>
          <w:szCs w:val="18"/>
        </w:rPr>
      </w:pPr>
    </w:p>
    <w:p w:rsidR="00302261" w:rsidRDefault="00302261" w:rsidP="00302261">
      <w:pPr>
        <w:spacing w:line="276" w:lineRule="auto"/>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02261" w:rsidRPr="00F31799" w:rsidTr="00F902D1">
        <w:trPr>
          <w:trHeight w:val="397"/>
          <w:jc w:val="center"/>
        </w:trPr>
        <w:tc>
          <w:tcPr>
            <w:tcW w:w="10773" w:type="dxa"/>
            <w:gridSpan w:val="2"/>
            <w:tcBorders>
              <w:top w:val="nil"/>
              <w:bottom w:val="nil"/>
            </w:tcBorders>
            <w:shd w:val="clear" w:color="auto" w:fill="F0EBE1"/>
            <w:vAlign w:val="center"/>
          </w:tcPr>
          <w:p w:rsidR="00302261" w:rsidRPr="00F31799" w:rsidRDefault="00302261" w:rsidP="00F902D1">
            <w:pPr>
              <w:spacing w:line="276" w:lineRule="auto"/>
              <w:jc w:val="left"/>
              <w:rPr>
                <w:rFonts w:ascii="Arial" w:hAnsi="Arial" w:cs="Arial"/>
                <w:b/>
                <w:color w:val="524B48"/>
                <w:sz w:val="24"/>
                <w:szCs w:val="20"/>
              </w:rPr>
            </w:pPr>
            <w:r w:rsidRPr="00F31799">
              <w:rPr>
                <w:rFonts w:ascii="Arial" w:hAnsi="Arial" w:cs="Arial"/>
                <w:b/>
                <w:color w:val="524B48"/>
                <w:sz w:val="24"/>
                <w:szCs w:val="20"/>
              </w:rPr>
              <w:lastRenderedPageBreak/>
              <w:t>The course will cover the following:</w:t>
            </w:r>
          </w:p>
        </w:tc>
      </w:tr>
      <w:tr w:rsidR="00302261" w:rsidRPr="00F31799" w:rsidTr="00F902D1">
        <w:trPr>
          <w:trHeight w:val="3454"/>
          <w:jc w:val="center"/>
        </w:trPr>
        <w:tc>
          <w:tcPr>
            <w:tcW w:w="9072" w:type="dxa"/>
            <w:tcBorders>
              <w:top w:val="nil"/>
              <w:bottom w:val="nil"/>
              <w:right w:val="nil"/>
            </w:tcBorders>
            <w:shd w:val="clear" w:color="auto" w:fill="FFFFFF" w:themeFill="background1"/>
            <w:vAlign w:val="center"/>
          </w:tcPr>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Why listen to the child in family law proceedings?</w:t>
            </w:r>
          </w:p>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What are the potential pitfalls of listening to the child?</w:t>
            </w:r>
          </w:p>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What are the traditional methods and methods of direct participation used to ascertain the child’s wishes and feelings? What are their respective advantages and disadvantages?</w:t>
            </w:r>
          </w:p>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What is the legal framework surrounding the separate representation of the child in Hong Kong, New Zealand, and England and Wales?</w:t>
            </w:r>
          </w:p>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How do the separate representation of the child and judicial interviews work in practice in Hong Kong, New Zealand, and England and Wales?</w:t>
            </w:r>
          </w:p>
          <w:p w:rsidR="00302261" w:rsidRPr="00F31799" w:rsidRDefault="00302261" w:rsidP="00F902D1">
            <w:pPr>
              <w:pStyle w:val="ListParagraph"/>
              <w:numPr>
                <w:ilvl w:val="0"/>
                <w:numId w:val="2"/>
              </w:numPr>
              <w:spacing w:line="276" w:lineRule="auto"/>
              <w:rPr>
                <w:rFonts w:ascii="Arial" w:hAnsi="Arial" w:cs="Arial"/>
                <w:color w:val="6C6361"/>
                <w:sz w:val="24"/>
                <w:szCs w:val="20"/>
              </w:rPr>
            </w:pPr>
            <w:r w:rsidRPr="00F31799">
              <w:rPr>
                <w:rFonts w:ascii="Arial" w:hAnsi="Arial" w:cs="Arial"/>
                <w:color w:val="6C6361"/>
                <w:sz w:val="24"/>
                <w:szCs w:val="20"/>
              </w:rPr>
              <w:t>What is the way forward for children’s participation in Hong Kong?</w:t>
            </w:r>
          </w:p>
        </w:tc>
        <w:tc>
          <w:tcPr>
            <w:tcW w:w="1701" w:type="dxa"/>
            <w:tcBorders>
              <w:top w:val="nil"/>
              <w:left w:val="nil"/>
              <w:bottom w:val="nil"/>
            </w:tcBorders>
            <w:shd w:val="clear" w:color="auto" w:fill="FFFFFF" w:themeFill="background1"/>
            <w:vAlign w:val="center"/>
          </w:tcPr>
          <w:p w:rsidR="00302261" w:rsidRDefault="00302261" w:rsidP="00F902D1">
            <w:pPr>
              <w:spacing w:line="276" w:lineRule="auto"/>
              <w:jc w:val="center"/>
              <w:rPr>
                <w:rFonts w:ascii="Arial" w:hAnsi="Arial" w:cs="Arial"/>
                <w:color w:val="6C6361"/>
                <w:sz w:val="24"/>
                <w:szCs w:val="20"/>
              </w:rPr>
            </w:pPr>
          </w:p>
          <w:p w:rsidR="00302261" w:rsidRDefault="00302261" w:rsidP="00F902D1">
            <w:pPr>
              <w:spacing w:line="276" w:lineRule="auto"/>
              <w:jc w:val="center"/>
              <w:rPr>
                <w:rFonts w:ascii="Arial" w:hAnsi="Arial" w:cs="Arial"/>
                <w:color w:val="6C6361"/>
                <w:sz w:val="24"/>
                <w:szCs w:val="20"/>
              </w:rPr>
            </w:pPr>
          </w:p>
          <w:p w:rsidR="00302261" w:rsidRDefault="00302261" w:rsidP="00F902D1">
            <w:pPr>
              <w:spacing w:line="276" w:lineRule="auto"/>
              <w:jc w:val="center"/>
              <w:rPr>
                <w:rFonts w:ascii="Arial" w:hAnsi="Arial" w:cs="Arial"/>
                <w:color w:val="6C6361"/>
                <w:sz w:val="24"/>
                <w:szCs w:val="20"/>
              </w:rPr>
            </w:pPr>
          </w:p>
          <w:p w:rsidR="00302261" w:rsidRDefault="00302261" w:rsidP="00F902D1">
            <w:pPr>
              <w:spacing w:line="276" w:lineRule="auto"/>
              <w:jc w:val="center"/>
              <w:rPr>
                <w:rFonts w:ascii="Arial" w:hAnsi="Arial" w:cs="Arial"/>
                <w:color w:val="6C6361"/>
                <w:sz w:val="24"/>
                <w:szCs w:val="20"/>
              </w:rPr>
            </w:pPr>
          </w:p>
          <w:p w:rsidR="00302261" w:rsidRDefault="00302261" w:rsidP="00F902D1">
            <w:pPr>
              <w:spacing w:line="276" w:lineRule="auto"/>
              <w:jc w:val="center"/>
              <w:rPr>
                <w:rFonts w:ascii="Arial" w:hAnsi="Arial" w:cs="Arial"/>
                <w:color w:val="6C6361"/>
                <w:sz w:val="24"/>
                <w:szCs w:val="20"/>
              </w:rPr>
            </w:pPr>
          </w:p>
          <w:p w:rsidR="00302261" w:rsidRPr="00F31799" w:rsidRDefault="00302261" w:rsidP="00F902D1">
            <w:pPr>
              <w:spacing w:line="276" w:lineRule="auto"/>
              <w:jc w:val="center"/>
              <w:rPr>
                <w:rFonts w:ascii="Arial" w:hAnsi="Arial" w:cs="Arial"/>
                <w:color w:val="6C6361"/>
                <w:sz w:val="24"/>
                <w:szCs w:val="20"/>
              </w:rPr>
            </w:pPr>
            <w:r w:rsidRPr="008A78D3">
              <w:rPr>
                <w:rFonts w:ascii="Arial" w:hAnsi="Arial" w:cs="Arial"/>
                <w:noProof/>
                <w:color w:val="6C6361"/>
                <w:sz w:val="24"/>
                <w:szCs w:val="20"/>
              </w:rPr>
              <w:drawing>
                <wp:inline distT="0" distB="0" distL="0" distR="0" wp14:anchorId="72EB43C0" wp14:editId="469309FF">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9B566F" w:rsidRPr="00302261" w:rsidRDefault="009B566F" w:rsidP="0047406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02261" w:rsidRPr="000762CF" w:rsidTr="00C02761">
        <w:trPr>
          <w:trHeight w:val="397"/>
          <w:jc w:val="center"/>
        </w:trPr>
        <w:tc>
          <w:tcPr>
            <w:tcW w:w="1701" w:type="dxa"/>
            <w:tcBorders>
              <w:top w:val="nil"/>
              <w:left w:val="nil"/>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EVT000000286</w:t>
            </w:r>
          </w:p>
        </w:tc>
        <w:tc>
          <w:tcPr>
            <w:tcW w:w="1701" w:type="dxa"/>
            <w:tcBorders>
              <w:top w:val="nil"/>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02261" w:rsidRPr="000762CF" w:rsidTr="00C02761">
        <w:trPr>
          <w:trHeight w:val="397"/>
          <w:jc w:val="center"/>
        </w:trPr>
        <w:tc>
          <w:tcPr>
            <w:tcW w:w="1701" w:type="dxa"/>
            <w:tcBorders>
              <w:top w:val="single" w:sz="12" w:space="0" w:color="FFFFFF"/>
              <w:left w:val="nil"/>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02261"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September 2019 (Tuesday)</w:t>
            </w:r>
          </w:p>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02261" w:rsidRPr="000762CF" w:rsidTr="00C02761">
        <w:trPr>
          <w:trHeight w:val="397"/>
          <w:jc w:val="center"/>
        </w:trPr>
        <w:tc>
          <w:tcPr>
            <w:tcW w:w="1701" w:type="dxa"/>
            <w:tcBorders>
              <w:top w:val="single" w:sz="12" w:space="0" w:color="FFFFFF"/>
              <w:left w:val="nil"/>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r>
              <w:rPr>
                <w:rFonts w:ascii="Arial" w:hAnsi="Arial" w:cs="Arial"/>
                <w:b/>
                <w:color w:val="6C6361"/>
                <w:sz w:val="20"/>
                <w:szCs w:val="20"/>
              </w:rPr>
              <w:t xml:space="preserve"> (Amended)</w:t>
            </w:r>
          </w:p>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02261" w:rsidRPr="00320F79"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02261" w:rsidRPr="00E843DA" w:rsidRDefault="00302261" w:rsidP="00302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474066" w:rsidRPr="000762CF" w:rsidTr="00C02761">
        <w:trPr>
          <w:trHeight w:val="397"/>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4D" w:rsidRDefault="00F1634D" w:rsidP="00546556">
      <w:r>
        <w:separator/>
      </w:r>
    </w:p>
  </w:endnote>
  <w:endnote w:type="continuationSeparator" w:id="0">
    <w:p w:rsidR="00F1634D" w:rsidRDefault="00F1634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4D" w:rsidRDefault="00F1634D" w:rsidP="00546556">
      <w:r>
        <w:separator/>
      </w:r>
    </w:p>
  </w:footnote>
  <w:footnote w:type="continuationSeparator" w:id="0">
    <w:p w:rsidR="00F1634D" w:rsidRDefault="00F1634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6NScAfQnruFfRD30MXbS4XE8Bg+JEsU6p0KYKZlLHMksY79FznqEDF31NUQpdQwqIoLrm3OhpoJby6F8R7JJ8g==" w:salt="c06IlGpCsXRgsdh+DRfXM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23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8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DF988-B7C1-429E-AFC3-69AEBB17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Valuation in Business and Property</vt:lpstr>
    </vt:vector>
  </TitlesOfParts>
  <Manager>Tyrone Tsang</Manager>
  <Company>The Profectional Company Limited</Company>
  <LinksUpToDate>false</LinksUpToDate>
  <CharactersWithSpaces>3252</CharactersWithSpaces>
  <SharedDoc>false</SharedDoc>
  <HyperlinkBase>http://download.profectional.com/events/EVT000000286.docx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Borrowed Voice: Children’s Participation in Family Law Proceedings</dc:title>
  <dc:subject>CPD Course: The Borrowed Voice: Children’s Participation in Family Law Proceedings</dc:subject>
  <dc:creator>The Profectional Company Limited</dc:creator>
  <cp:keywords>Profectional; Kornerstone; CPD; CPT; CLE; CE; RME; Cordelia Yeung; Barrister-at-Law; Alan Leong, S.C.'s Chambers</cp:keywords>
  <cp:lastModifiedBy>Tyrone Tsang</cp:lastModifiedBy>
  <cp:revision>31</cp:revision>
  <cp:lastPrinted>2019-09-21T10:25:00Z</cp:lastPrinted>
  <dcterms:created xsi:type="dcterms:W3CDTF">2015-05-28T16:24:00Z</dcterms:created>
  <dcterms:modified xsi:type="dcterms:W3CDTF">2019-09-21T10:25:00Z</dcterms:modified>
</cp:coreProperties>
</file>